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17A3" w14:textId="7785DBE1" w:rsidR="00E90834" w:rsidRPr="00E90834" w:rsidRDefault="00E90834" w:rsidP="00E90834">
      <w:pPr>
        <w:pStyle w:val="Heading1"/>
        <w:jc w:val="center"/>
        <w:rPr>
          <w:rFonts w:eastAsia="Times New Roman"/>
          <w:b/>
        </w:rPr>
      </w:pPr>
      <w:bookmarkStart w:id="0" w:name="_GoBack"/>
      <w:bookmarkEnd w:id="0"/>
      <w:r w:rsidRPr="00E90834">
        <w:rPr>
          <w:rFonts w:eastAsia="Times New Roman"/>
          <w:b/>
        </w:rPr>
        <w:t xml:space="preserve">The Khyber Medical University </w:t>
      </w:r>
      <w:r w:rsidR="002F263E">
        <w:rPr>
          <w:rFonts w:eastAsia="Times New Roman"/>
          <w:b/>
        </w:rPr>
        <w:t>ORIC</w:t>
      </w:r>
      <w:r w:rsidRPr="00E90834">
        <w:rPr>
          <w:rFonts w:eastAsia="Times New Roman"/>
          <w:b/>
        </w:rPr>
        <w:t xml:space="preserve"> Strate</w:t>
      </w:r>
      <w:r w:rsidR="002F263E">
        <w:rPr>
          <w:rFonts w:eastAsia="Times New Roman"/>
          <w:b/>
        </w:rPr>
        <w:t>gic Plan</w:t>
      </w:r>
      <w:r w:rsidRPr="00E90834">
        <w:rPr>
          <w:rFonts w:eastAsia="Times New Roman"/>
          <w:b/>
        </w:rPr>
        <w:t xml:space="preserve"> 202</w:t>
      </w:r>
      <w:r w:rsidR="00C13BBF">
        <w:rPr>
          <w:rFonts w:eastAsia="Times New Roman"/>
          <w:b/>
        </w:rPr>
        <w:t>1</w:t>
      </w:r>
      <w:r w:rsidRPr="00E90834">
        <w:rPr>
          <w:rFonts w:eastAsia="Times New Roman"/>
          <w:b/>
        </w:rPr>
        <w:t>-202</w:t>
      </w:r>
      <w:r w:rsidR="00C13BBF">
        <w:rPr>
          <w:rFonts w:eastAsia="Times New Roman"/>
          <w:b/>
        </w:rPr>
        <w:t>6 (DRAFT)</w:t>
      </w:r>
    </w:p>
    <w:p w14:paraId="0DA6A08F" w14:textId="77777777" w:rsidR="001A3F4A" w:rsidRDefault="001A3F4A" w:rsidP="00E90834">
      <w:pPr>
        <w:pStyle w:val="Heading1"/>
        <w:rPr>
          <w:rFonts w:eastAsia="Times New Roman"/>
        </w:rPr>
      </w:pPr>
      <w:r>
        <w:rPr>
          <w:rFonts w:eastAsia="Times New Roman"/>
        </w:rPr>
        <w:t>Objective</w:t>
      </w:r>
    </w:p>
    <w:p w14:paraId="4C6A4758" w14:textId="77777777" w:rsidR="00E90834" w:rsidRPr="00E90834" w:rsidRDefault="00E90834" w:rsidP="00E90834"/>
    <w:p w14:paraId="409D11D2" w14:textId="45EE0451" w:rsidR="00E90834" w:rsidRPr="00E90834" w:rsidRDefault="001A3F4A" w:rsidP="00E90834">
      <w:r w:rsidRPr="00E90834">
        <w:t xml:space="preserve">The primary objective of the </w:t>
      </w:r>
      <w:r w:rsidR="00E90834" w:rsidRPr="00E90834">
        <w:t xml:space="preserve">Khyber Medical </w:t>
      </w:r>
      <w:r w:rsidRPr="00E90834">
        <w:t>University Research Strategy is for the</w:t>
      </w:r>
      <w:r w:rsidR="00E90834" w:rsidRPr="00E90834">
        <w:t xml:space="preserve"> u</w:t>
      </w:r>
      <w:r w:rsidRPr="00E90834">
        <w:t xml:space="preserve">niversity to be a </w:t>
      </w:r>
      <w:r w:rsidR="00E90834" w:rsidRPr="00E90834">
        <w:t>national</w:t>
      </w:r>
      <w:r w:rsidRPr="00E90834">
        <w:t xml:space="preserve"> leader in research</w:t>
      </w:r>
      <w:r w:rsidR="002F263E">
        <w:t xml:space="preserve"> and Innovation</w:t>
      </w:r>
      <w:r w:rsidR="00E90834" w:rsidRPr="00E90834">
        <w:t xml:space="preserve"> while laying down the foundations for a future global leadership role. </w:t>
      </w:r>
    </w:p>
    <w:p w14:paraId="64C16ABF" w14:textId="77777777" w:rsidR="001A3F4A" w:rsidRPr="001A3F4A" w:rsidRDefault="001A3F4A" w:rsidP="00E90834">
      <w:r w:rsidRPr="001A3F4A">
        <w:rPr>
          <w:rStyle w:val="Heading1Char"/>
        </w:rPr>
        <w:t>How will we achieve this?</w:t>
      </w:r>
      <w:r w:rsidRPr="001A3F4A">
        <w:br/>
      </w:r>
      <w:r w:rsidRPr="001A3F4A">
        <w:br/>
      </w:r>
      <w:bookmarkStart w:id="1" w:name="Recruiting-and-retaining"/>
      <w:bookmarkEnd w:id="1"/>
      <w:r w:rsidRPr="001A3F4A">
        <w:t>1. By recruiting and retaining the best researchers at all career stages</w:t>
      </w:r>
      <w:r>
        <w:t xml:space="preserve"> available in the </w:t>
      </w:r>
      <w:proofErr w:type="gramStart"/>
      <w:r>
        <w:t>market</w:t>
      </w:r>
      <w:r w:rsidRPr="001A3F4A">
        <w:t>,</w:t>
      </w:r>
      <w:proofErr w:type="gramEnd"/>
      <w:r w:rsidRPr="001A3F4A">
        <w:t xml:space="preserve"> and supporting and mentoring existing staff, so as to offer all staff an attractive environment in which their research can flourish.</w:t>
      </w:r>
    </w:p>
    <w:p w14:paraId="6B2909D6" w14:textId="77777777" w:rsidR="001A3F4A" w:rsidRPr="001A3F4A" w:rsidRDefault="001A3F4A" w:rsidP="00E90834">
      <w:r w:rsidRPr="001A3F4A">
        <w:t>We will:</w:t>
      </w:r>
    </w:p>
    <w:p w14:paraId="206B3887" w14:textId="77777777" w:rsidR="001A3F4A" w:rsidRPr="001A3F4A" w:rsidRDefault="00C524F4" w:rsidP="00E90834">
      <w:pPr>
        <w:pStyle w:val="ListParagraph"/>
        <w:numPr>
          <w:ilvl w:val="0"/>
          <w:numId w:val="1"/>
        </w:numPr>
      </w:pPr>
      <w:r w:rsidRPr="00E90834">
        <w:t xml:space="preserve">Create additional faculty positions at all levels in each constituent institute and develop </w:t>
      </w:r>
      <w:r w:rsidR="001A3F4A" w:rsidRPr="001A3F4A">
        <w:t xml:space="preserve">recruitment processes that select academic staff </w:t>
      </w:r>
      <w:proofErr w:type="gramStart"/>
      <w:r w:rsidR="001A3F4A" w:rsidRPr="001A3F4A">
        <w:t>who</w:t>
      </w:r>
      <w:proofErr w:type="gramEnd"/>
      <w:r w:rsidR="001A3F4A" w:rsidRPr="001A3F4A">
        <w:t xml:space="preserve"> are, or have the potential to become</w:t>
      </w:r>
      <w:r w:rsidRPr="00E90834">
        <w:t xml:space="preserve"> </w:t>
      </w:r>
      <w:r w:rsidR="001A3F4A" w:rsidRPr="001A3F4A">
        <w:t>international leaders in their research area.</w:t>
      </w:r>
    </w:p>
    <w:p w14:paraId="4C64482B" w14:textId="77777777" w:rsidR="001A3F4A" w:rsidRPr="001A3F4A" w:rsidRDefault="001A3F4A" w:rsidP="00E90834">
      <w:pPr>
        <w:pStyle w:val="ListParagraph"/>
        <w:numPr>
          <w:ilvl w:val="0"/>
          <w:numId w:val="1"/>
        </w:numPr>
      </w:pPr>
      <w:r w:rsidRPr="001A3F4A">
        <w:t xml:space="preserve">Ensure </w:t>
      </w:r>
      <w:r w:rsidRPr="00E90834">
        <w:t xml:space="preserve">a </w:t>
      </w:r>
      <w:r w:rsidRPr="001A3F4A">
        <w:t xml:space="preserve">work </w:t>
      </w:r>
      <w:r w:rsidRPr="00E90834">
        <w:t>environment</w:t>
      </w:r>
      <w:r w:rsidRPr="001A3F4A">
        <w:t xml:space="preserve"> that </w:t>
      </w:r>
      <w:r w:rsidRPr="00E90834">
        <w:t>facilitates</w:t>
      </w:r>
      <w:r w:rsidRPr="001A3F4A">
        <w:t xml:space="preserve"> research</w:t>
      </w:r>
      <w:r w:rsidRPr="00E90834">
        <w:t xml:space="preserve"> through </w:t>
      </w:r>
      <w:r w:rsidR="00E90834" w:rsidRPr="00E90834">
        <w:t xml:space="preserve">the </w:t>
      </w:r>
      <w:r w:rsidRPr="00E90834">
        <w:t>allowance of</w:t>
      </w:r>
      <w:r w:rsidRPr="001A3F4A">
        <w:t xml:space="preserve"> time and flexib</w:t>
      </w:r>
      <w:r w:rsidRPr="00E90834">
        <w:t>ility</w:t>
      </w:r>
      <w:r w:rsidRPr="001A3F4A">
        <w:t xml:space="preserve"> </w:t>
      </w:r>
      <w:r w:rsidRPr="00E90834">
        <w:t>in terms of research approaches.</w:t>
      </w:r>
    </w:p>
    <w:p w14:paraId="3E316B25" w14:textId="77777777" w:rsidR="001A3F4A" w:rsidRPr="001A3F4A" w:rsidRDefault="001A3F4A" w:rsidP="00E90834">
      <w:pPr>
        <w:pStyle w:val="ListParagraph"/>
        <w:numPr>
          <w:ilvl w:val="0"/>
          <w:numId w:val="1"/>
        </w:numPr>
      </w:pPr>
      <w:r w:rsidRPr="001A3F4A">
        <w:t xml:space="preserve">Provide research facilities and infrastructure of the highest quality, embedding this priority within the University’s </w:t>
      </w:r>
      <w:r w:rsidR="00E90834" w:rsidRPr="00E90834">
        <w:t>development plan</w:t>
      </w:r>
      <w:r w:rsidRPr="001A3F4A">
        <w:t>.</w:t>
      </w:r>
    </w:p>
    <w:p w14:paraId="08E835E6" w14:textId="77777777" w:rsidR="001A3F4A" w:rsidRPr="001A3F4A" w:rsidRDefault="001A3F4A" w:rsidP="00E90834">
      <w:pPr>
        <w:pStyle w:val="ListParagraph"/>
        <w:numPr>
          <w:ilvl w:val="0"/>
          <w:numId w:val="1"/>
        </w:numPr>
      </w:pPr>
      <w:r w:rsidRPr="001A3F4A">
        <w:t xml:space="preserve">Establish a prestigious support scheme for </w:t>
      </w:r>
      <w:r w:rsidRPr="00E90834">
        <w:t xml:space="preserve">early career </w:t>
      </w:r>
      <w:proofErr w:type="gramStart"/>
      <w:r w:rsidRPr="00E90834">
        <w:t>researchers</w:t>
      </w:r>
      <w:r w:rsidRPr="001A3F4A">
        <w:t xml:space="preserve"> that encourages</w:t>
      </w:r>
      <w:proofErr w:type="gramEnd"/>
      <w:r w:rsidRPr="001A3F4A">
        <w:t xml:space="preserve"> </w:t>
      </w:r>
      <w:r w:rsidRPr="00E90834">
        <w:t>them</w:t>
      </w:r>
      <w:r w:rsidRPr="001A3F4A">
        <w:t xml:space="preserve"> to develop their research at </w:t>
      </w:r>
      <w:r w:rsidRPr="00E90834">
        <w:t>KMU</w:t>
      </w:r>
      <w:r w:rsidRPr="001A3F4A">
        <w:t>.</w:t>
      </w:r>
    </w:p>
    <w:p w14:paraId="4F6868A8" w14:textId="77777777" w:rsidR="001A3F4A" w:rsidRDefault="001A3F4A" w:rsidP="00E90834">
      <w:pPr>
        <w:pStyle w:val="ListParagraph"/>
        <w:numPr>
          <w:ilvl w:val="0"/>
          <w:numId w:val="1"/>
        </w:numPr>
      </w:pPr>
      <w:r w:rsidRPr="001A3F4A">
        <w:t xml:space="preserve">Provide </w:t>
      </w:r>
      <w:r w:rsidRPr="00E90834">
        <w:t>professional development opportunities</w:t>
      </w:r>
      <w:r w:rsidRPr="001A3F4A">
        <w:t xml:space="preserve"> to equip all researchers with the skills needed to undertake </w:t>
      </w:r>
      <w:r w:rsidRPr="00E90834">
        <w:t xml:space="preserve">rigorous </w:t>
      </w:r>
      <w:r w:rsidRPr="001A3F4A">
        <w:t>research with</w:t>
      </w:r>
      <w:r w:rsidRPr="00E90834">
        <w:t xml:space="preserve"> a view to impactful outcomes</w:t>
      </w:r>
      <w:r w:rsidRPr="001A3F4A">
        <w:t>.</w:t>
      </w:r>
    </w:p>
    <w:p w14:paraId="7383E665" w14:textId="77777777" w:rsidR="00E90834" w:rsidRPr="001A3F4A" w:rsidRDefault="00E90834" w:rsidP="00E90834">
      <w:pPr>
        <w:pStyle w:val="ListParagraph"/>
        <w:numPr>
          <w:ilvl w:val="0"/>
          <w:numId w:val="1"/>
        </w:numPr>
      </w:pPr>
      <w:r w:rsidRPr="00E90834">
        <w:t>Ensure that all Institutes are provided with research support staff</w:t>
      </w:r>
    </w:p>
    <w:p w14:paraId="262AAA14" w14:textId="77777777" w:rsidR="001A3F4A" w:rsidRPr="001A3F4A" w:rsidRDefault="001A3F4A" w:rsidP="00E90834">
      <w:pPr>
        <w:pStyle w:val="ListParagraph"/>
        <w:numPr>
          <w:ilvl w:val="0"/>
          <w:numId w:val="1"/>
        </w:numPr>
      </w:pPr>
      <w:r w:rsidRPr="001A3F4A">
        <w:t xml:space="preserve">Ensure that all research support staff, including technical officers, are fully trained and integrated into the research culture of </w:t>
      </w:r>
      <w:r w:rsidR="00E90834" w:rsidRPr="00E90834">
        <w:t>the Institutes</w:t>
      </w:r>
      <w:r w:rsidRPr="001A3F4A">
        <w:t>.</w:t>
      </w:r>
    </w:p>
    <w:p w14:paraId="4DCB7EA2" w14:textId="3C08C096" w:rsidR="001A3F4A" w:rsidRDefault="001A3F4A" w:rsidP="00E90834">
      <w:pPr>
        <w:pStyle w:val="ListParagraph"/>
        <w:numPr>
          <w:ilvl w:val="0"/>
          <w:numId w:val="1"/>
        </w:numPr>
      </w:pPr>
      <w:r w:rsidRPr="001A3F4A">
        <w:t>Continue with our strong commitment to ensuring equal career opportunities for all, as demonstrated in our work with Athena Swan, Juno</w:t>
      </w:r>
      <w:r w:rsidR="00E90834">
        <w:t>,</w:t>
      </w:r>
      <w:r w:rsidRPr="001A3F4A">
        <w:t xml:space="preserve"> and other initiatives.</w:t>
      </w:r>
    </w:p>
    <w:p w14:paraId="36D104D2" w14:textId="2D24B493" w:rsidR="00456AE6" w:rsidRDefault="00456AE6" w:rsidP="00456AE6"/>
    <w:p w14:paraId="7430404B" w14:textId="7A1F75BA" w:rsidR="00456AE6" w:rsidRDefault="00456AE6" w:rsidP="00456AE6"/>
    <w:p w14:paraId="23F463C6" w14:textId="77777777" w:rsidR="00456AE6" w:rsidRDefault="00456AE6" w:rsidP="00456AE6"/>
    <w:p w14:paraId="12C5DDA1" w14:textId="77777777" w:rsidR="001A3F4A" w:rsidRPr="001A3F4A" w:rsidRDefault="001A3F4A" w:rsidP="00E90834"/>
    <w:p w14:paraId="4BD4159F" w14:textId="77777777" w:rsidR="001A3F4A" w:rsidRPr="001A3F4A" w:rsidRDefault="001A3F4A" w:rsidP="00E90834">
      <w:bookmarkStart w:id="2" w:name="interdisc-research-strengths"/>
      <w:bookmarkEnd w:id="2"/>
      <w:r w:rsidRPr="001A3F4A">
        <w:t xml:space="preserve">2. </w:t>
      </w:r>
      <w:r w:rsidR="00E90834">
        <w:t>Ensuring</w:t>
      </w:r>
      <w:r w:rsidRPr="001A3F4A">
        <w:t xml:space="preserve"> interdisciplinary research </w:t>
      </w:r>
      <w:r w:rsidR="00E90834">
        <w:t>by giving it a</w:t>
      </w:r>
      <w:r w:rsidRPr="001A3F4A">
        <w:t xml:space="preserve"> focus, identity</w:t>
      </w:r>
      <w:r w:rsidR="00E90834">
        <w:t>,</w:t>
      </w:r>
      <w:r w:rsidRPr="001A3F4A">
        <w:t xml:space="preserve"> and presence</w:t>
      </w:r>
      <w:r w:rsidR="00E90834">
        <w:t>.</w:t>
      </w:r>
    </w:p>
    <w:p w14:paraId="224E4E14" w14:textId="77777777" w:rsidR="001A3F4A" w:rsidRPr="001A3F4A" w:rsidRDefault="001A3F4A" w:rsidP="00E90834">
      <w:r w:rsidRPr="001A3F4A">
        <w:lastRenderedPageBreak/>
        <w:t>We will:</w:t>
      </w:r>
    </w:p>
    <w:p w14:paraId="31161C86" w14:textId="77777777" w:rsidR="001A3F4A" w:rsidRPr="001A3F4A" w:rsidRDefault="001A3F4A" w:rsidP="00E90834">
      <w:pPr>
        <w:pStyle w:val="ListParagraph"/>
        <w:numPr>
          <w:ilvl w:val="0"/>
          <w:numId w:val="2"/>
        </w:numPr>
      </w:pPr>
      <w:r w:rsidRPr="001A3F4A">
        <w:t>Support excellent research within the core academic disciplines across the University.</w:t>
      </w:r>
    </w:p>
    <w:p w14:paraId="3851108E" w14:textId="77777777" w:rsidR="00E90834" w:rsidRPr="00E90834" w:rsidRDefault="00E90834" w:rsidP="00E90834">
      <w:pPr>
        <w:pStyle w:val="ListParagraph"/>
        <w:numPr>
          <w:ilvl w:val="0"/>
          <w:numId w:val="2"/>
        </w:numPr>
      </w:pPr>
      <w:r w:rsidRPr="00E90834">
        <w:t>Identify themes for research based on our strength and the need of the country, and encourage inter-disciplinary approaches to answer the research questions pertaining to these themes.</w:t>
      </w:r>
    </w:p>
    <w:p w14:paraId="18F4E331" w14:textId="77777777" w:rsidR="001A3F4A" w:rsidRPr="001A3F4A" w:rsidRDefault="001A3F4A" w:rsidP="00E90834">
      <w:pPr>
        <w:pStyle w:val="ListParagraph"/>
        <w:numPr>
          <w:ilvl w:val="0"/>
          <w:numId w:val="2"/>
        </w:numPr>
      </w:pPr>
      <w:r w:rsidRPr="001A3F4A">
        <w:t>Ensure that decision-</w:t>
      </w:r>
      <w:r w:rsidRPr="001A3F4A">
        <w:softHyphen/>
      </w:r>
      <w:r w:rsidRPr="00E90834">
        <w:rPr>
          <w:rFonts w:ascii="Cambria Math" w:hAnsi="Cambria Math" w:cs="Cambria Math"/>
        </w:rPr>
        <w:t>‐</w:t>
      </w:r>
      <w:r w:rsidRPr="001A3F4A">
        <w:noBreakHyphen/>
        <w:t>making processes for the allocation of resources are transparent and meet the highest standards of research quality and integrity.</w:t>
      </w:r>
    </w:p>
    <w:p w14:paraId="05BC8CD8" w14:textId="77777777" w:rsidR="001A3F4A" w:rsidRPr="001A3F4A" w:rsidRDefault="001A3F4A" w:rsidP="00E90834">
      <w:pPr>
        <w:pStyle w:val="ListParagraph"/>
        <w:numPr>
          <w:ilvl w:val="0"/>
          <w:numId w:val="2"/>
        </w:numPr>
      </w:pPr>
      <w:r w:rsidRPr="001A3F4A">
        <w:t xml:space="preserve">Set clearly defined performance indicators for the research themes, taking into account different research models, and monitor these annually through University </w:t>
      </w:r>
      <w:r w:rsidR="00E90834" w:rsidRPr="00E90834">
        <w:t>ASRB</w:t>
      </w:r>
      <w:r w:rsidRPr="001A3F4A">
        <w:t>. Use this information to inform decisions on the life span of each theme.</w:t>
      </w:r>
    </w:p>
    <w:p w14:paraId="2D73FD3B" w14:textId="77777777" w:rsidR="001A3F4A" w:rsidRPr="001A3F4A" w:rsidRDefault="00E90834" w:rsidP="00E90834">
      <w:pPr>
        <w:pStyle w:val="ListParagraph"/>
        <w:numPr>
          <w:ilvl w:val="0"/>
          <w:numId w:val="2"/>
        </w:numPr>
      </w:pPr>
      <w:r w:rsidRPr="00E90834">
        <w:t xml:space="preserve">Develop </w:t>
      </w:r>
      <w:r w:rsidR="001A3F4A" w:rsidRPr="001A3F4A">
        <w:t xml:space="preserve">underpinning systems </w:t>
      </w:r>
      <w:r w:rsidRPr="00E90834">
        <w:t xml:space="preserve">that </w:t>
      </w:r>
      <w:r w:rsidR="001A3F4A" w:rsidRPr="001A3F4A">
        <w:t>are kept up to date with relevant publication and activity data.</w:t>
      </w:r>
    </w:p>
    <w:p w14:paraId="55C69434" w14:textId="77777777" w:rsidR="001A3F4A" w:rsidRPr="001A3F4A" w:rsidRDefault="001A3F4A" w:rsidP="00E90834">
      <w:pPr>
        <w:pStyle w:val="ListParagraph"/>
        <w:numPr>
          <w:ilvl w:val="0"/>
          <w:numId w:val="2"/>
        </w:numPr>
      </w:pPr>
      <w:r w:rsidRPr="001A3F4A">
        <w:t>Develop a stronger web presence for research, focused around the themes to ensure academic colleagues, potential collaborators, funders and policymakers are fully aware of the University’s strengths.</w:t>
      </w:r>
    </w:p>
    <w:p w14:paraId="3E306B94" w14:textId="77777777" w:rsidR="00E90834" w:rsidRDefault="001A3F4A" w:rsidP="00E90834">
      <w:pPr>
        <w:pStyle w:val="ListParagraph"/>
        <w:numPr>
          <w:ilvl w:val="0"/>
          <w:numId w:val="2"/>
        </w:numPr>
      </w:pPr>
      <w:r w:rsidRPr="001A3F4A">
        <w:t>Promote activities that communicate our research strengths and successes in engagement with the wider public.</w:t>
      </w:r>
    </w:p>
    <w:p w14:paraId="629BDAB0" w14:textId="77777777" w:rsidR="00E90834" w:rsidRPr="001A3F4A" w:rsidRDefault="00E90834" w:rsidP="00E90834"/>
    <w:p w14:paraId="10218E8C" w14:textId="77777777" w:rsidR="001A3F4A" w:rsidRPr="001A3F4A" w:rsidRDefault="001A3F4A" w:rsidP="00E90834">
      <w:bookmarkStart w:id="3" w:name="Role-of-depts"/>
      <w:bookmarkEnd w:id="3"/>
      <w:r w:rsidRPr="001A3F4A">
        <w:t>3. By recogni</w:t>
      </w:r>
      <w:r w:rsidR="00E90834">
        <w:t>z</w:t>
      </w:r>
      <w:r w:rsidRPr="001A3F4A">
        <w:t xml:space="preserve">ing the role of </w:t>
      </w:r>
      <w:r w:rsidR="00E90834">
        <w:t>Institutes</w:t>
      </w:r>
      <w:r w:rsidRPr="001A3F4A">
        <w:t xml:space="preserve"> in supporting their staff in the development of their research.</w:t>
      </w:r>
    </w:p>
    <w:p w14:paraId="726646F4" w14:textId="77777777" w:rsidR="001A3F4A" w:rsidRPr="001A3F4A" w:rsidRDefault="001A3F4A" w:rsidP="00E90834">
      <w:r w:rsidRPr="001A3F4A">
        <w:t>We will:</w:t>
      </w:r>
    </w:p>
    <w:p w14:paraId="58BD0463" w14:textId="77777777" w:rsidR="001A3F4A" w:rsidRPr="001A3F4A" w:rsidRDefault="001A3F4A" w:rsidP="00E90834">
      <w:pPr>
        <w:pStyle w:val="ListParagraph"/>
        <w:numPr>
          <w:ilvl w:val="0"/>
          <w:numId w:val="3"/>
        </w:numPr>
      </w:pPr>
      <w:r w:rsidRPr="001A3F4A">
        <w:t xml:space="preserve">Maintain </w:t>
      </w:r>
      <w:r w:rsidR="00E90834">
        <w:t xml:space="preserve">a </w:t>
      </w:r>
      <w:r w:rsidRPr="001A3F4A">
        <w:t>strong commitment to the link between research and teaching and continue to expect that the majority of academic staff will undertake both activities.</w:t>
      </w:r>
    </w:p>
    <w:p w14:paraId="665E2CA5" w14:textId="77777777" w:rsidR="001A3F4A" w:rsidRPr="001A3F4A" w:rsidRDefault="001A3F4A" w:rsidP="00E90834">
      <w:pPr>
        <w:pStyle w:val="ListParagraph"/>
        <w:numPr>
          <w:ilvl w:val="0"/>
          <w:numId w:val="3"/>
        </w:numPr>
      </w:pPr>
      <w:r w:rsidRPr="001A3F4A">
        <w:t>Strengthen research grant planning and peer review processes to encourage competitive funding proposals and recogni</w:t>
      </w:r>
      <w:r w:rsidR="00E90834">
        <w:t>z</w:t>
      </w:r>
      <w:r w:rsidRPr="001A3F4A">
        <w:t>e the use of staff time for these purposes.</w:t>
      </w:r>
    </w:p>
    <w:p w14:paraId="45E3983F" w14:textId="77777777" w:rsidR="001A3F4A" w:rsidRPr="001A3F4A" w:rsidRDefault="001A3F4A" w:rsidP="00E90834">
      <w:pPr>
        <w:pStyle w:val="ListParagraph"/>
        <w:numPr>
          <w:ilvl w:val="0"/>
          <w:numId w:val="3"/>
        </w:numPr>
      </w:pPr>
      <w:r w:rsidRPr="001A3F4A">
        <w:t>Employ resources such as academic leave and workload adjustment to enable research grant preparation.</w:t>
      </w:r>
    </w:p>
    <w:p w14:paraId="47548EB7" w14:textId="77777777" w:rsidR="001A3F4A" w:rsidRPr="001A3F4A" w:rsidRDefault="001A3F4A" w:rsidP="00E90834">
      <w:pPr>
        <w:pStyle w:val="ListParagraph"/>
        <w:numPr>
          <w:ilvl w:val="0"/>
          <w:numId w:val="3"/>
        </w:numPr>
      </w:pPr>
      <w:r w:rsidRPr="001A3F4A">
        <w:t>Agree</w:t>
      </w:r>
      <w:r w:rsidR="00E90834">
        <w:t xml:space="preserve"> on</w:t>
      </w:r>
      <w:r w:rsidRPr="001A3F4A">
        <w:t xml:space="preserve"> clear research expectations for </w:t>
      </w:r>
      <w:r w:rsidR="00E90834" w:rsidRPr="00E90834">
        <w:t>Institutes</w:t>
      </w:r>
      <w:r w:rsidRPr="001A3F4A">
        <w:t xml:space="preserve"> in terms of levels of activity and performance.</w:t>
      </w:r>
    </w:p>
    <w:p w14:paraId="11F3D68E" w14:textId="77777777" w:rsidR="001A3F4A" w:rsidRPr="001A3F4A" w:rsidRDefault="001A3F4A" w:rsidP="00E90834">
      <w:pPr>
        <w:pStyle w:val="ListParagraph"/>
        <w:numPr>
          <w:ilvl w:val="0"/>
          <w:numId w:val="3"/>
        </w:numPr>
      </w:pPr>
      <w:r w:rsidRPr="001A3F4A">
        <w:t xml:space="preserve">Monitor these expectations on an annual basis, via reporting to University </w:t>
      </w:r>
      <w:r w:rsidR="00E90834" w:rsidRPr="00E90834">
        <w:t>ASRB.</w:t>
      </w:r>
    </w:p>
    <w:p w14:paraId="527AB16B" w14:textId="77777777" w:rsidR="00E90834" w:rsidRDefault="001A3F4A" w:rsidP="00E90834">
      <w:pPr>
        <w:pStyle w:val="ListParagraph"/>
        <w:numPr>
          <w:ilvl w:val="0"/>
          <w:numId w:val="3"/>
        </w:numPr>
      </w:pPr>
      <w:r w:rsidRPr="001A3F4A">
        <w:t>Ensure that resources for research are used effectively and efficiently.</w:t>
      </w:r>
    </w:p>
    <w:p w14:paraId="47F539AD" w14:textId="71A45880" w:rsidR="00E90834" w:rsidRDefault="00E90834" w:rsidP="00456AE6">
      <w:pPr>
        <w:pStyle w:val="ListParagraph"/>
      </w:pPr>
    </w:p>
    <w:p w14:paraId="48E421D5" w14:textId="77777777" w:rsidR="00456AE6" w:rsidRPr="001A3F4A" w:rsidRDefault="00456AE6" w:rsidP="00456AE6">
      <w:pPr>
        <w:pStyle w:val="ListParagraph"/>
      </w:pPr>
    </w:p>
    <w:p w14:paraId="25B27997" w14:textId="77777777" w:rsidR="001A3F4A" w:rsidRPr="001A3F4A" w:rsidRDefault="001A3F4A" w:rsidP="00E90834">
      <w:bookmarkStart w:id="4" w:name="Uni-resources"/>
      <w:bookmarkEnd w:id="4"/>
      <w:r w:rsidRPr="001A3F4A">
        <w:t xml:space="preserve">4. </w:t>
      </w:r>
      <w:proofErr w:type="gramStart"/>
      <w:r w:rsidRPr="001A3F4A">
        <w:t>By</w:t>
      </w:r>
      <w:proofErr w:type="gramEnd"/>
      <w:r w:rsidRPr="001A3F4A">
        <w:t xml:space="preserve"> deploying University resources to support research excellence</w:t>
      </w:r>
    </w:p>
    <w:p w14:paraId="4AEF643B" w14:textId="77777777" w:rsidR="001A3F4A" w:rsidRPr="001A3F4A" w:rsidRDefault="001A3F4A" w:rsidP="00E90834">
      <w:r w:rsidRPr="001A3F4A">
        <w:t>We will:</w:t>
      </w:r>
    </w:p>
    <w:p w14:paraId="5CE5051F" w14:textId="77777777" w:rsidR="001A3F4A" w:rsidRPr="001A3F4A" w:rsidRDefault="001A3F4A" w:rsidP="00E90834">
      <w:pPr>
        <w:pStyle w:val="ListParagraph"/>
        <w:numPr>
          <w:ilvl w:val="0"/>
          <w:numId w:val="4"/>
        </w:numPr>
      </w:pPr>
      <w:r w:rsidRPr="001A3F4A">
        <w:lastRenderedPageBreak/>
        <w:t>Make resources available to support staff in the development of large applications for funding in areas of particular research strength.</w:t>
      </w:r>
    </w:p>
    <w:p w14:paraId="5902605C" w14:textId="77777777" w:rsidR="001A3F4A" w:rsidRPr="001A3F4A" w:rsidRDefault="001A3F4A" w:rsidP="00E90834">
      <w:pPr>
        <w:pStyle w:val="ListParagraph"/>
        <w:numPr>
          <w:ilvl w:val="0"/>
          <w:numId w:val="4"/>
        </w:numPr>
      </w:pPr>
      <w:r w:rsidRPr="001A3F4A">
        <w:t>Organi</w:t>
      </w:r>
      <w:r w:rsidR="00E90834">
        <w:t>z</w:t>
      </w:r>
      <w:r w:rsidRPr="001A3F4A">
        <w:t>e related support structures to encourage research income generation</w:t>
      </w:r>
      <w:r w:rsidR="00E90834" w:rsidRPr="00E90834">
        <w:t>.</w:t>
      </w:r>
    </w:p>
    <w:p w14:paraId="4B378B0E" w14:textId="77777777" w:rsidR="001A3F4A" w:rsidRPr="001A3F4A" w:rsidRDefault="001A3F4A" w:rsidP="00E90834">
      <w:pPr>
        <w:pStyle w:val="ListParagraph"/>
        <w:numPr>
          <w:ilvl w:val="0"/>
          <w:numId w:val="4"/>
        </w:numPr>
      </w:pPr>
      <w:r w:rsidRPr="001A3F4A">
        <w:t>Provide excellent research support appropriate for the needs of individual researchers across the disciplines and promote the career development of research support staff to align with these expectations.</w:t>
      </w:r>
    </w:p>
    <w:p w14:paraId="2CDE6590" w14:textId="77777777" w:rsidR="001A3F4A" w:rsidRPr="001A3F4A" w:rsidRDefault="001A3F4A" w:rsidP="00E90834">
      <w:pPr>
        <w:pStyle w:val="ListParagraph"/>
        <w:numPr>
          <w:ilvl w:val="0"/>
          <w:numId w:val="4"/>
        </w:numPr>
      </w:pPr>
      <w:r w:rsidRPr="001A3F4A">
        <w:t>Ensure that incentives offered to researchers who are particularly successful in attracting research income and producing world</w:t>
      </w:r>
      <w:r w:rsidR="00E90834">
        <w:t>-</w:t>
      </w:r>
      <w:r w:rsidRPr="001A3F4A">
        <w:t>leading research outcomes are appropriate and effective.</w:t>
      </w:r>
    </w:p>
    <w:p w14:paraId="6AEB181B" w14:textId="77777777" w:rsidR="001A3F4A" w:rsidRPr="001A3F4A" w:rsidRDefault="001A3F4A" w:rsidP="00E90834">
      <w:pPr>
        <w:pStyle w:val="ListParagraph"/>
        <w:numPr>
          <w:ilvl w:val="0"/>
          <w:numId w:val="4"/>
        </w:numPr>
      </w:pPr>
      <w:r w:rsidRPr="001A3F4A">
        <w:t xml:space="preserve">Develop partnerships at </w:t>
      </w:r>
      <w:r w:rsidR="00E90834">
        <w:t xml:space="preserve">the </w:t>
      </w:r>
      <w:r w:rsidRPr="001A3F4A">
        <w:t>national and international level that support the University’s research ambitions and the development of long-</w:t>
      </w:r>
      <w:r w:rsidRPr="001A3F4A">
        <w:softHyphen/>
      </w:r>
      <w:r w:rsidRPr="00E90834">
        <w:rPr>
          <w:rFonts w:ascii="Cambria Math" w:hAnsi="Cambria Math" w:cs="Cambria Math"/>
        </w:rPr>
        <w:t>‐</w:t>
      </w:r>
      <w:r w:rsidRPr="001A3F4A">
        <w:noBreakHyphen/>
        <w:t>term sustainable relationships.</w:t>
      </w:r>
    </w:p>
    <w:p w14:paraId="5808B8FF" w14:textId="77777777" w:rsidR="001A3F4A" w:rsidRPr="001A3F4A" w:rsidRDefault="001A3F4A" w:rsidP="00E90834">
      <w:pPr>
        <w:pStyle w:val="ListParagraph"/>
        <w:numPr>
          <w:ilvl w:val="0"/>
          <w:numId w:val="4"/>
        </w:numPr>
      </w:pPr>
      <w:r w:rsidRPr="001A3F4A">
        <w:t xml:space="preserve">Be proactive in engaging with major funders of research and external partners in order to understand their priorities, highlight </w:t>
      </w:r>
      <w:r w:rsidR="00E90834" w:rsidRPr="00E90834">
        <w:t>KMU’s</w:t>
      </w:r>
      <w:r w:rsidRPr="001A3F4A">
        <w:t xml:space="preserve"> capabilities and expertise, and inform their policies.</w:t>
      </w:r>
    </w:p>
    <w:p w14:paraId="61ADEBC5" w14:textId="77777777" w:rsidR="001A3F4A" w:rsidRPr="001A3F4A" w:rsidRDefault="001A3F4A" w:rsidP="00E90834">
      <w:pPr>
        <w:pStyle w:val="ListParagraph"/>
        <w:numPr>
          <w:ilvl w:val="0"/>
          <w:numId w:val="4"/>
        </w:numPr>
      </w:pPr>
      <w:r w:rsidRPr="001A3F4A">
        <w:t>Diversify the portfolio of research income, particularly from industry and other public and private sources.</w:t>
      </w:r>
    </w:p>
    <w:p w14:paraId="683ADC4D" w14:textId="77777777" w:rsidR="00E90834" w:rsidRDefault="001A3F4A" w:rsidP="00E90834">
      <w:pPr>
        <w:pStyle w:val="ListParagraph"/>
        <w:numPr>
          <w:ilvl w:val="0"/>
          <w:numId w:val="4"/>
        </w:numPr>
      </w:pPr>
      <w:r w:rsidRPr="001A3F4A">
        <w:t>Improve the efficiency and effectiveness of research grant development and management, by reviewing current processes and implementing an integrated University research grants management system.</w:t>
      </w:r>
    </w:p>
    <w:p w14:paraId="352259DA" w14:textId="77777777" w:rsidR="00E90834" w:rsidRPr="001A3F4A" w:rsidRDefault="00E90834" w:rsidP="00E90834"/>
    <w:p w14:paraId="01DDDEE9" w14:textId="77777777" w:rsidR="001A3F4A" w:rsidRPr="001A3F4A" w:rsidRDefault="001A3F4A" w:rsidP="00E90834">
      <w:bookmarkStart w:id="5" w:name="pgres-students-and-supervisors"/>
      <w:bookmarkEnd w:id="5"/>
      <w:r w:rsidRPr="001A3F4A">
        <w:t>5. By supporting our postgraduate research students and their supervisors to train a vibrant research community of excellent research scholars.</w:t>
      </w:r>
    </w:p>
    <w:p w14:paraId="37BD3489" w14:textId="77777777" w:rsidR="001A3F4A" w:rsidRPr="001A3F4A" w:rsidRDefault="001A3F4A" w:rsidP="00E90834">
      <w:r w:rsidRPr="001A3F4A">
        <w:t>We will:</w:t>
      </w:r>
    </w:p>
    <w:p w14:paraId="709545D5" w14:textId="77777777" w:rsidR="001A3F4A" w:rsidRPr="001A3F4A" w:rsidRDefault="00E90834" w:rsidP="00E90834">
      <w:pPr>
        <w:pStyle w:val="ListParagraph"/>
        <w:numPr>
          <w:ilvl w:val="0"/>
          <w:numId w:val="5"/>
        </w:numPr>
      </w:pPr>
      <w:r w:rsidRPr="00E90834">
        <w:t>Strengthen the ASRB</w:t>
      </w:r>
      <w:r w:rsidR="001A3F4A" w:rsidRPr="001A3F4A">
        <w:t xml:space="preserve"> to provide institution-wide oversight of all matters relating to postgraduate research students, particularly training, development</w:t>
      </w:r>
      <w:r>
        <w:t>,</w:t>
      </w:r>
      <w:r w:rsidR="001A3F4A" w:rsidRPr="001A3F4A">
        <w:t xml:space="preserve"> and support.</w:t>
      </w:r>
    </w:p>
    <w:p w14:paraId="29A4F9F6" w14:textId="77777777" w:rsidR="001A3F4A" w:rsidRPr="001A3F4A" w:rsidRDefault="00E90834" w:rsidP="00E90834">
      <w:pPr>
        <w:pStyle w:val="ListParagraph"/>
        <w:numPr>
          <w:ilvl w:val="0"/>
          <w:numId w:val="5"/>
        </w:numPr>
      </w:pPr>
      <w:r w:rsidRPr="00E90834">
        <w:t>E</w:t>
      </w:r>
      <w:r w:rsidR="001A3F4A" w:rsidRPr="001A3F4A">
        <w:t>nsure the highest level of broad and subject-</w:t>
      </w:r>
      <w:r w:rsidR="001A3F4A" w:rsidRPr="001A3F4A">
        <w:softHyphen/>
        <w:t>specific support across the University.</w:t>
      </w:r>
    </w:p>
    <w:p w14:paraId="39161654" w14:textId="77777777" w:rsidR="001A3F4A" w:rsidRPr="001A3F4A" w:rsidRDefault="001A3F4A" w:rsidP="00E90834">
      <w:pPr>
        <w:pStyle w:val="ListParagraph"/>
        <w:numPr>
          <w:ilvl w:val="0"/>
          <w:numId w:val="5"/>
        </w:numPr>
      </w:pPr>
      <w:r w:rsidRPr="001A3F4A">
        <w:t>Recogni</w:t>
      </w:r>
      <w:r w:rsidR="00E90834">
        <w:t>z</w:t>
      </w:r>
      <w:r w:rsidRPr="001A3F4A">
        <w:t>e the role of research students in promoting the research ambitions of the University and integrate them more effectively into the research culture of the institution.</w:t>
      </w:r>
    </w:p>
    <w:p w14:paraId="1F6364B1" w14:textId="77777777" w:rsidR="001A3F4A" w:rsidRPr="001A3F4A" w:rsidRDefault="001A3F4A" w:rsidP="00E90834">
      <w:pPr>
        <w:pStyle w:val="ListParagraph"/>
        <w:numPr>
          <w:ilvl w:val="0"/>
          <w:numId w:val="5"/>
        </w:numPr>
      </w:pPr>
      <w:r w:rsidRPr="001A3F4A">
        <w:t>Provide training for both students and supervisors, as appropriate, to ensure a culture of research excellence and integrity.</w:t>
      </w:r>
    </w:p>
    <w:p w14:paraId="431A9B6A" w14:textId="4E37499B" w:rsidR="001A3F4A" w:rsidRDefault="001A3F4A" w:rsidP="00E90834">
      <w:pPr>
        <w:pStyle w:val="ListParagraph"/>
        <w:numPr>
          <w:ilvl w:val="0"/>
          <w:numId w:val="5"/>
        </w:numPr>
      </w:pPr>
      <w:r w:rsidRPr="001A3F4A">
        <w:t xml:space="preserve">Increase Graduate research student numbers while maintaining the highest academic quality. </w:t>
      </w:r>
    </w:p>
    <w:p w14:paraId="3A0F934E" w14:textId="1AA44D58" w:rsidR="00330FDC" w:rsidRDefault="00330FDC" w:rsidP="00330FDC"/>
    <w:p w14:paraId="2C37F5C6" w14:textId="79DC675F" w:rsidR="00330FDC" w:rsidRDefault="00330FDC" w:rsidP="00330FDC"/>
    <w:p w14:paraId="17769B6E" w14:textId="3C357E70" w:rsidR="00330FDC" w:rsidRDefault="00330FDC" w:rsidP="00330FDC"/>
    <w:p w14:paraId="6B40605B" w14:textId="1FBD82D0" w:rsidR="00330FDC" w:rsidRDefault="00330FDC" w:rsidP="00330FDC"/>
    <w:p w14:paraId="445033DD" w14:textId="77777777" w:rsidR="00330FDC" w:rsidRPr="001A3F4A" w:rsidRDefault="00330FDC" w:rsidP="00330FDC"/>
    <w:p w14:paraId="4EF8656B" w14:textId="77777777" w:rsidR="00330FDC" w:rsidRPr="00330FDC" w:rsidRDefault="00330FDC" w:rsidP="00E90834">
      <w:pPr>
        <w:rPr>
          <w:b/>
          <w:bCs/>
          <w:sz w:val="28"/>
          <w:szCs w:val="28"/>
        </w:rPr>
      </w:pPr>
      <w:r w:rsidRPr="00330FDC">
        <w:rPr>
          <w:b/>
          <w:bCs/>
          <w:sz w:val="28"/>
          <w:szCs w:val="28"/>
        </w:rPr>
        <w:t>Key areas of focus</w:t>
      </w:r>
    </w:p>
    <w:p w14:paraId="6E3487CC" w14:textId="3222AC95" w:rsidR="00330FDC" w:rsidRPr="00330FDC" w:rsidRDefault="00330FDC" w:rsidP="00E90834">
      <w:pPr>
        <w:rPr>
          <w:b/>
          <w:bCs/>
        </w:rPr>
      </w:pPr>
      <w:r w:rsidRPr="00330FDC">
        <w:rPr>
          <w:b/>
          <w:bCs/>
        </w:rPr>
        <w:t>Research Support</w:t>
      </w:r>
    </w:p>
    <w:p w14:paraId="38B9DD56" w14:textId="4D6D064E" w:rsidR="00330FDC" w:rsidRDefault="00330FDC" w:rsidP="00330FDC">
      <w:pPr>
        <w:pStyle w:val="ListParagraph"/>
        <w:numPr>
          <w:ilvl w:val="0"/>
          <w:numId w:val="6"/>
        </w:numPr>
      </w:pPr>
      <w:r>
        <w:t>Number and volume of research proposals submitted, approved, and completed.</w:t>
      </w:r>
    </w:p>
    <w:p w14:paraId="640E982F" w14:textId="77777777" w:rsidR="00330FDC" w:rsidRDefault="00330FDC" w:rsidP="00330FDC">
      <w:pPr>
        <w:pStyle w:val="ListParagraph"/>
        <w:numPr>
          <w:ilvl w:val="0"/>
          <w:numId w:val="6"/>
        </w:numPr>
      </w:pPr>
      <w:r>
        <w:t>Number and volume of joint research projects submitted, approved, and completed</w:t>
      </w:r>
    </w:p>
    <w:p w14:paraId="61E8A3D8" w14:textId="77777777" w:rsidR="00330FDC" w:rsidRDefault="00330FDC" w:rsidP="00330FDC">
      <w:pPr>
        <w:pStyle w:val="ListParagraph"/>
        <w:numPr>
          <w:ilvl w:val="0"/>
          <w:numId w:val="6"/>
        </w:numPr>
      </w:pPr>
      <w:r>
        <w:t>Research links established with other universities, industry, government, or NGOs</w:t>
      </w:r>
    </w:p>
    <w:p w14:paraId="1A72177E" w14:textId="77777777" w:rsidR="00330FDC" w:rsidRDefault="00330FDC" w:rsidP="00330FDC">
      <w:pPr>
        <w:pStyle w:val="ListParagraph"/>
        <w:numPr>
          <w:ilvl w:val="0"/>
          <w:numId w:val="6"/>
        </w:numPr>
      </w:pPr>
      <w:r>
        <w:t>Contract research awarded by industry or government organizations</w:t>
      </w:r>
    </w:p>
    <w:p w14:paraId="4E3C6D69" w14:textId="77777777" w:rsidR="00330FDC" w:rsidRDefault="00330FDC" w:rsidP="00330FDC">
      <w:pPr>
        <w:pStyle w:val="ListParagraph"/>
        <w:numPr>
          <w:ilvl w:val="0"/>
          <w:numId w:val="6"/>
        </w:numPr>
      </w:pPr>
      <w:r>
        <w:t>Acceptance ratio of proposals</w:t>
      </w:r>
    </w:p>
    <w:p w14:paraId="1212CEE6" w14:textId="38D6F9C1" w:rsidR="00330FDC" w:rsidRDefault="00330FDC" w:rsidP="00330FDC">
      <w:pPr>
        <w:pStyle w:val="ListParagraph"/>
        <w:numPr>
          <w:ilvl w:val="0"/>
          <w:numId w:val="6"/>
        </w:numPr>
      </w:pPr>
      <w:r>
        <w:t>Annual research revenue generated</w:t>
      </w:r>
    </w:p>
    <w:p w14:paraId="327E1104" w14:textId="3CFC676A" w:rsidR="00330FDC" w:rsidRDefault="00330FDC" w:rsidP="00330FDC">
      <w:pPr>
        <w:pStyle w:val="ListParagraph"/>
        <w:numPr>
          <w:ilvl w:val="0"/>
          <w:numId w:val="6"/>
        </w:numPr>
      </w:pPr>
      <w:r>
        <w:t xml:space="preserve">Research grant opportunities identified and circulated to faculty </w:t>
      </w:r>
    </w:p>
    <w:p w14:paraId="431882CC" w14:textId="7CCB45D4" w:rsidR="00330FDC" w:rsidRDefault="00330FDC" w:rsidP="00330FDC">
      <w:pPr>
        <w:pStyle w:val="ListParagraph"/>
        <w:numPr>
          <w:ilvl w:val="0"/>
          <w:numId w:val="6"/>
        </w:numPr>
      </w:pPr>
      <w:r>
        <w:t>Consultancy opportunities identified and circulated to faculty.</w:t>
      </w:r>
    </w:p>
    <w:p w14:paraId="29032B05" w14:textId="42004D60" w:rsidR="00330FDC" w:rsidRDefault="00330FDC" w:rsidP="00330FDC">
      <w:pPr>
        <w:pStyle w:val="ListParagraph"/>
        <w:numPr>
          <w:ilvl w:val="0"/>
          <w:numId w:val="6"/>
        </w:numPr>
      </w:pPr>
      <w:r>
        <w:t>Consultancy contracts executed through ORIC.</w:t>
      </w:r>
    </w:p>
    <w:p w14:paraId="46A3AEBB" w14:textId="4407F704" w:rsidR="00330FDC" w:rsidRDefault="00330FDC" w:rsidP="00330FDC">
      <w:pPr>
        <w:pStyle w:val="ListParagraph"/>
        <w:numPr>
          <w:ilvl w:val="0"/>
          <w:numId w:val="6"/>
        </w:numPr>
      </w:pPr>
      <w:r>
        <w:t>Client satisfaction</w:t>
      </w:r>
    </w:p>
    <w:p w14:paraId="009C2D2C" w14:textId="77777777" w:rsidR="00330FDC" w:rsidRDefault="00330FDC" w:rsidP="00330FDC">
      <w:pPr>
        <w:pStyle w:val="ListParagraph"/>
        <w:ind w:left="800"/>
      </w:pPr>
    </w:p>
    <w:p w14:paraId="29771067" w14:textId="4A9724F3" w:rsidR="00330FDC" w:rsidRPr="00330FDC" w:rsidRDefault="00330FDC" w:rsidP="00330FDC">
      <w:pPr>
        <w:rPr>
          <w:b/>
          <w:bCs/>
        </w:rPr>
      </w:pPr>
      <w:r w:rsidRPr="00330FDC">
        <w:rPr>
          <w:b/>
          <w:bCs/>
        </w:rPr>
        <w:t>Innovation and Commercialization</w:t>
      </w:r>
    </w:p>
    <w:p w14:paraId="23715785" w14:textId="77777777" w:rsidR="00330FDC" w:rsidRDefault="00330FDC" w:rsidP="00330FDC">
      <w:pPr>
        <w:pStyle w:val="ListParagraph"/>
        <w:ind w:left="800"/>
      </w:pPr>
    </w:p>
    <w:p w14:paraId="4E00C962" w14:textId="77777777" w:rsidR="00330FDC" w:rsidRDefault="00330FDC" w:rsidP="00330FDC">
      <w:pPr>
        <w:pStyle w:val="ListParagraph"/>
        <w:numPr>
          <w:ilvl w:val="0"/>
          <w:numId w:val="7"/>
        </w:numPr>
      </w:pPr>
      <w:r>
        <w:t>Number of IP disclosures</w:t>
      </w:r>
    </w:p>
    <w:p w14:paraId="56296332" w14:textId="11119082" w:rsidR="00330FDC" w:rsidRDefault="00330FDC" w:rsidP="00330FDC">
      <w:pPr>
        <w:pStyle w:val="ListParagraph"/>
        <w:numPr>
          <w:ilvl w:val="0"/>
          <w:numId w:val="7"/>
        </w:numPr>
      </w:pPr>
      <w:r>
        <w:t>Number of policy briefs</w:t>
      </w:r>
    </w:p>
    <w:p w14:paraId="06C09A6E" w14:textId="7A5776B7" w:rsidR="00330FDC" w:rsidRDefault="00330FDC" w:rsidP="00330FDC">
      <w:pPr>
        <w:pStyle w:val="ListParagraph"/>
        <w:numPr>
          <w:ilvl w:val="0"/>
          <w:numId w:val="7"/>
        </w:numPr>
      </w:pPr>
      <w:r>
        <w:t>Number of IP licensing negotiations initiated</w:t>
      </w:r>
    </w:p>
    <w:p w14:paraId="2D4C467E" w14:textId="7CD92979" w:rsidR="00330FDC" w:rsidRDefault="00330FDC" w:rsidP="00330FDC">
      <w:pPr>
        <w:pStyle w:val="ListParagraph"/>
        <w:numPr>
          <w:ilvl w:val="0"/>
          <w:numId w:val="7"/>
        </w:numPr>
      </w:pPr>
      <w:r>
        <w:t>Number of non-exclusive or exclusive licenses signed</w:t>
      </w:r>
    </w:p>
    <w:p w14:paraId="4371BB10" w14:textId="7E83E7ED" w:rsidR="00330FDC" w:rsidRDefault="00330FDC" w:rsidP="00330FDC">
      <w:pPr>
        <w:pStyle w:val="ListParagraph"/>
        <w:numPr>
          <w:ilvl w:val="0"/>
          <w:numId w:val="7"/>
        </w:numPr>
      </w:pPr>
      <w:r>
        <w:t xml:space="preserve">Yearly revenue earned from licensing, royalties, policy advocacy, or other academic activities. </w:t>
      </w:r>
    </w:p>
    <w:p w14:paraId="258995A4" w14:textId="6214F6C0" w:rsidR="00330FDC" w:rsidRDefault="00330FDC" w:rsidP="00330FDC">
      <w:pPr>
        <w:pStyle w:val="ListParagraph"/>
        <w:numPr>
          <w:ilvl w:val="0"/>
          <w:numId w:val="7"/>
        </w:numPr>
      </w:pPr>
      <w:r>
        <w:t>Number of visits by representatives of industry or community members regarding potential research subjects.</w:t>
      </w:r>
    </w:p>
    <w:p w14:paraId="39E25376" w14:textId="6C6A9A8A" w:rsidR="00330FDC" w:rsidRDefault="00330FDC" w:rsidP="00330FDC">
      <w:pPr>
        <w:pStyle w:val="ListParagraph"/>
        <w:numPr>
          <w:ilvl w:val="0"/>
          <w:numId w:val="7"/>
        </w:numPr>
      </w:pPr>
      <w:r>
        <w:t xml:space="preserve">Number of events organized for industry or entrepreneurial stimulus, or for community engagement or community awareness </w:t>
      </w:r>
    </w:p>
    <w:p w14:paraId="745E04F1" w14:textId="09D393B7" w:rsidR="00330FDC" w:rsidRDefault="00330FDC" w:rsidP="00330FDC">
      <w:pPr>
        <w:pStyle w:val="ListParagraph"/>
        <w:numPr>
          <w:ilvl w:val="0"/>
          <w:numId w:val="7"/>
        </w:numPr>
      </w:pPr>
      <w:r>
        <w:t>Number of agreements signed for collaboration with industry, government</w:t>
      </w:r>
    </w:p>
    <w:p w14:paraId="6EC9056D" w14:textId="480BD8C2" w:rsidR="000669A1" w:rsidRDefault="00330FDC" w:rsidP="00330FDC">
      <w:pPr>
        <w:pStyle w:val="ListParagraph"/>
        <w:numPr>
          <w:ilvl w:val="0"/>
          <w:numId w:val="7"/>
        </w:numPr>
      </w:pPr>
      <w:r>
        <w:t>Number of national or international honors or awards won.</w:t>
      </w:r>
    </w:p>
    <w:p w14:paraId="09877806" w14:textId="263A76D2" w:rsidR="00330FDC" w:rsidRDefault="00330FDC" w:rsidP="00330FDC"/>
    <w:p w14:paraId="2BED1DC6" w14:textId="0FA0A145" w:rsidR="00330FDC" w:rsidRDefault="00330FDC">
      <w:r>
        <w:br w:type="page"/>
      </w:r>
    </w:p>
    <w:p w14:paraId="20578BF7" w14:textId="04763CEB" w:rsidR="00330FDC" w:rsidRDefault="00330FDC" w:rsidP="00330FDC">
      <w:pPr>
        <w:rPr>
          <w:b/>
          <w:bCs/>
        </w:rPr>
      </w:pPr>
      <w:r w:rsidRPr="00330FDC">
        <w:rPr>
          <w:b/>
          <w:bCs/>
        </w:rPr>
        <w:lastRenderedPageBreak/>
        <w:t>Performance Indicators</w:t>
      </w:r>
    </w:p>
    <w:tbl>
      <w:tblPr>
        <w:tblStyle w:val="TableGrid"/>
        <w:tblW w:w="983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907"/>
        <w:gridCol w:w="2268"/>
        <w:gridCol w:w="697"/>
        <w:gridCol w:w="720"/>
        <w:gridCol w:w="900"/>
        <w:gridCol w:w="801"/>
        <w:gridCol w:w="819"/>
        <w:gridCol w:w="720"/>
      </w:tblGrid>
      <w:tr w:rsidR="00456AE6" w:rsidRPr="002A25C1" w14:paraId="3106F748" w14:textId="77777777" w:rsidTr="00F165F9">
        <w:tc>
          <w:tcPr>
            <w:tcW w:w="2907" w:type="dxa"/>
            <w:vMerge w:val="restart"/>
            <w:shd w:val="clear" w:color="auto" w:fill="CCFFFF"/>
            <w:vAlign w:val="center"/>
          </w:tcPr>
          <w:p w14:paraId="0FCEDB77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KRAs</w:t>
            </w: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0DC610BE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KPIs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CCFFFF"/>
          </w:tcPr>
          <w:p w14:paraId="027CF875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Baseline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0F545329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Five Years Targets</w:t>
            </w:r>
          </w:p>
        </w:tc>
      </w:tr>
      <w:tr w:rsidR="00456AE6" w:rsidRPr="002A25C1" w14:paraId="042E9E87" w14:textId="77777777" w:rsidTr="00F165F9">
        <w:tc>
          <w:tcPr>
            <w:tcW w:w="2907" w:type="dxa"/>
            <w:vMerge/>
            <w:shd w:val="clear" w:color="auto" w:fill="CCFFFF"/>
          </w:tcPr>
          <w:p w14:paraId="73495627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CFFFF"/>
          </w:tcPr>
          <w:p w14:paraId="5F7AFD91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E0E0E0"/>
          </w:tcPr>
          <w:p w14:paraId="0C5E96FE" w14:textId="77EA3B90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720" w:type="dxa"/>
            <w:shd w:val="clear" w:color="auto" w:fill="E0E0E0"/>
          </w:tcPr>
          <w:p w14:paraId="23D356A8" w14:textId="6EFD18C4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  <w:shd w:val="clear" w:color="auto" w:fill="E0E0E0"/>
          </w:tcPr>
          <w:p w14:paraId="7DB03056" w14:textId="16FDEE49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801" w:type="dxa"/>
            <w:shd w:val="clear" w:color="auto" w:fill="E0E0E0"/>
          </w:tcPr>
          <w:p w14:paraId="6B3B541E" w14:textId="2626EDE0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819" w:type="dxa"/>
            <w:shd w:val="clear" w:color="auto" w:fill="E0E0E0"/>
          </w:tcPr>
          <w:p w14:paraId="5E16ECEC" w14:textId="72578B5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Pr="002A25C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E0E0E0"/>
          </w:tcPr>
          <w:p w14:paraId="308BF479" w14:textId="7AEF0A35" w:rsidR="00456AE6" w:rsidRPr="002A25C1" w:rsidRDefault="00456AE6" w:rsidP="00F165F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2025-26</w:t>
            </w:r>
          </w:p>
        </w:tc>
      </w:tr>
      <w:tr w:rsidR="00456AE6" w:rsidRPr="002A25C1" w14:paraId="3428F475" w14:textId="77777777" w:rsidTr="00F165F9">
        <w:tc>
          <w:tcPr>
            <w:tcW w:w="2907" w:type="dxa"/>
          </w:tcPr>
          <w:p w14:paraId="0B8448FC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Enhance skills in research, in areas such as Proposal Writing, research tools, data collection &amp;analysis of data and report writing.</w:t>
            </w:r>
          </w:p>
        </w:tc>
        <w:tc>
          <w:tcPr>
            <w:tcW w:w="2268" w:type="dxa"/>
          </w:tcPr>
          <w:p w14:paraId="6CF097E7" w14:textId="6F9F4C17" w:rsidR="00456AE6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42AA">
              <w:rPr>
                <w:rFonts w:ascii="Times New Roman" w:hAnsi="Times New Roman"/>
                <w:sz w:val="22"/>
                <w:szCs w:val="22"/>
              </w:rPr>
              <w:t>50</w:t>
            </w:r>
            <w:r w:rsidRPr="002A25C1">
              <w:rPr>
                <w:rFonts w:ascii="Times New Roman" w:hAnsi="Times New Roman"/>
                <w:sz w:val="22"/>
                <w:szCs w:val="22"/>
              </w:rPr>
              <w:t xml:space="preserve"> Workshop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2A25C1">
              <w:rPr>
                <w:rFonts w:ascii="Times New Roman" w:hAnsi="Times New Roman"/>
                <w:sz w:val="22"/>
                <w:szCs w:val="22"/>
              </w:rPr>
              <w:t xml:space="preserve"> on Research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related </w:t>
            </w:r>
            <w:r w:rsidRPr="002A25C1">
              <w:rPr>
                <w:rFonts w:ascii="Times New Roman" w:hAnsi="Times New Roman"/>
                <w:sz w:val="22"/>
                <w:szCs w:val="22"/>
              </w:rPr>
              <w:t>skills</w:t>
            </w:r>
          </w:p>
          <w:p w14:paraId="65006723" w14:textId="77777777" w:rsidR="00456AE6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818B0C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C02354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</w:tcPr>
          <w:p w14:paraId="4D180A6F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</w:t>
            </w:r>
            <w:r w:rsidRPr="002A25C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14:paraId="2E5511A7" w14:textId="22AB506D" w:rsidR="00456AE6" w:rsidRPr="002A25C1" w:rsidRDefault="002D42AA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14:paraId="1092F888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14:paraId="71552A1B" w14:textId="26D15C16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D42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14:paraId="6B3D508E" w14:textId="0E552E39" w:rsidR="00456AE6" w:rsidRPr="002A25C1" w:rsidRDefault="002D42AA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2A485671" w14:textId="4066FA66" w:rsidR="00456AE6" w:rsidRPr="002A25C1" w:rsidRDefault="002D42AA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56AE6" w:rsidRPr="002A25C1" w14:paraId="6A1BDA41" w14:textId="77777777" w:rsidTr="00F165F9">
        <w:tc>
          <w:tcPr>
            <w:tcW w:w="2907" w:type="dxa"/>
          </w:tcPr>
          <w:p w14:paraId="22370A51" w14:textId="139B64E9" w:rsidR="00456AE6" w:rsidRPr="004A0A32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A32">
              <w:rPr>
                <w:rFonts w:ascii="Times New Roman" w:hAnsi="Times New Roman"/>
                <w:sz w:val="22"/>
                <w:szCs w:val="22"/>
              </w:rPr>
              <w:t>Preparing of younger faculty members to compete for seeking research consultancy services</w:t>
            </w:r>
          </w:p>
        </w:tc>
        <w:tc>
          <w:tcPr>
            <w:tcW w:w="2268" w:type="dxa"/>
          </w:tcPr>
          <w:p w14:paraId="349388CA" w14:textId="789811E8" w:rsidR="00456AE6" w:rsidRPr="004A0A32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 </w:t>
            </w:r>
            <w:r w:rsidR="00456AE6" w:rsidRPr="004A0A32">
              <w:rPr>
                <w:rFonts w:ascii="Times New Roman" w:hAnsi="Times New Roman"/>
                <w:sz w:val="22"/>
                <w:szCs w:val="22"/>
              </w:rPr>
              <w:t>Funded Research Projects &amp; Consultancies</w:t>
            </w:r>
          </w:p>
          <w:p w14:paraId="1AF36C2D" w14:textId="77777777" w:rsidR="00456AE6" w:rsidRPr="004A0A32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789B612" w14:textId="77777777" w:rsidR="00456AE6" w:rsidRPr="004A0A32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</w:tcPr>
          <w:p w14:paraId="491A7B19" w14:textId="3A29C827" w:rsidR="00456AE6" w:rsidRPr="004A0A32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A32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17F14E84" w14:textId="36B53756" w:rsidR="00456AE6" w:rsidRPr="004A0A32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</w:tcPr>
          <w:p w14:paraId="1F5DEF07" w14:textId="133C1115" w:rsidR="00456AE6" w:rsidRPr="004A0A32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01" w:type="dxa"/>
          </w:tcPr>
          <w:p w14:paraId="71A7A78C" w14:textId="2DCDBC49" w:rsidR="00456AE6" w:rsidRPr="004A0A32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19" w:type="dxa"/>
          </w:tcPr>
          <w:p w14:paraId="47D3950E" w14:textId="39F5FBF8" w:rsidR="00456AE6" w:rsidRPr="004A0A32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14:paraId="1B0A02D8" w14:textId="22DBB3E0" w:rsidR="00456AE6" w:rsidRPr="004A0A32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</w:tr>
      <w:tr w:rsidR="00456AE6" w:rsidRPr="002A25C1" w14:paraId="2C769C90" w14:textId="77777777" w:rsidTr="00F165F9">
        <w:tc>
          <w:tcPr>
            <w:tcW w:w="2907" w:type="dxa"/>
          </w:tcPr>
          <w:p w14:paraId="4990DBE2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Conduct joint research or collaborative projects with established organizations, institutions or industries</w:t>
            </w:r>
          </w:p>
        </w:tc>
        <w:tc>
          <w:tcPr>
            <w:tcW w:w="2268" w:type="dxa"/>
          </w:tcPr>
          <w:p w14:paraId="555058FF" w14:textId="39F2E424" w:rsidR="00456AE6" w:rsidRPr="002A25C1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456A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6AE6" w:rsidRPr="002A25C1">
              <w:rPr>
                <w:rFonts w:ascii="Times New Roman" w:hAnsi="Times New Roman"/>
                <w:sz w:val="22"/>
                <w:szCs w:val="22"/>
              </w:rPr>
              <w:t xml:space="preserve">Collaborative </w:t>
            </w:r>
          </w:p>
          <w:p w14:paraId="06731E0F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research projects</w:t>
            </w:r>
          </w:p>
          <w:p w14:paraId="0954DCC0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</w:tcPr>
          <w:p w14:paraId="17A5672D" w14:textId="0AF5A6C8" w:rsidR="00456AE6" w:rsidRPr="002A25C1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3F73F061" w14:textId="5C891F8D" w:rsidR="00456AE6" w:rsidRPr="002A25C1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</w:tcPr>
          <w:p w14:paraId="5DD99A92" w14:textId="5A7EEF31" w:rsidR="00456AE6" w:rsidRPr="002A25C1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01" w:type="dxa"/>
          </w:tcPr>
          <w:p w14:paraId="000BAB02" w14:textId="0550FF9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14:paraId="5AAC28A4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19A00F45" w14:textId="70B518DD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56AE6" w:rsidRPr="002A25C1" w14:paraId="449C6CEF" w14:textId="77777777" w:rsidTr="00F165F9">
        <w:tc>
          <w:tcPr>
            <w:tcW w:w="2907" w:type="dxa"/>
          </w:tcPr>
          <w:p w14:paraId="5D6119A0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Awards for quality research, researchers and publications</w:t>
            </w:r>
          </w:p>
        </w:tc>
        <w:tc>
          <w:tcPr>
            <w:tcW w:w="2268" w:type="dxa"/>
          </w:tcPr>
          <w:p w14:paraId="7120FCBE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Research awards</w:t>
            </w:r>
          </w:p>
          <w:p w14:paraId="198CFB43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  <w:p w14:paraId="50900517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</w:tcPr>
          <w:p w14:paraId="402035B2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2EB8CE8C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</w:tcPr>
          <w:p w14:paraId="02D8A562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01" w:type="dxa"/>
          </w:tcPr>
          <w:p w14:paraId="4C4D4FE2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19" w:type="dxa"/>
          </w:tcPr>
          <w:p w14:paraId="4CFE5C2E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14:paraId="552341B4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</w:tr>
      <w:tr w:rsidR="00456AE6" w:rsidRPr="002A25C1" w14:paraId="128CE7A4" w14:textId="77777777" w:rsidTr="00F165F9">
        <w:tc>
          <w:tcPr>
            <w:tcW w:w="2907" w:type="dxa"/>
          </w:tcPr>
          <w:p w14:paraId="400BDECC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Make research and consultancy as one of the alternative source of income to contribute to the university’s operating budget</w:t>
            </w:r>
          </w:p>
        </w:tc>
        <w:tc>
          <w:tcPr>
            <w:tcW w:w="2268" w:type="dxa"/>
          </w:tcPr>
          <w:p w14:paraId="226F0703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Commercialized Laboratories/Consultancy services</w:t>
            </w:r>
          </w:p>
          <w:p w14:paraId="186CBBD5" w14:textId="7DDDD355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(0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4</w:t>
            </w:r>
            <w:r w:rsidRPr="002A25C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97" w:type="dxa"/>
          </w:tcPr>
          <w:p w14:paraId="1E6EA7A2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1621AFBF" w14:textId="18B67A2D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255FE737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01" w:type="dxa"/>
          </w:tcPr>
          <w:p w14:paraId="6B35DEA0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19" w:type="dxa"/>
          </w:tcPr>
          <w:p w14:paraId="0CAAA26E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14:paraId="092604A5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</w:tr>
      <w:tr w:rsidR="00456AE6" w:rsidRPr="002A25C1" w14:paraId="19C77313" w14:textId="77777777" w:rsidTr="00F165F9">
        <w:tc>
          <w:tcPr>
            <w:tcW w:w="2907" w:type="dxa"/>
          </w:tcPr>
          <w:p w14:paraId="429F2CCF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Constantly update the database on available expertise in the university for the consumption of potential clients who may wish to engage them either for research or consultancy purpose</w:t>
            </w:r>
          </w:p>
        </w:tc>
        <w:tc>
          <w:tcPr>
            <w:tcW w:w="2268" w:type="dxa"/>
          </w:tcPr>
          <w:p w14:paraId="6F86DDCF" w14:textId="6167C204" w:rsidR="00456AE6" w:rsidRPr="002A25C1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456A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6AE6" w:rsidRPr="002A25C1">
              <w:rPr>
                <w:rFonts w:ascii="Times New Roman" w:hAnsi="Times New Roman"/>
                <w:sz w:val="22"/>
                <w:szCs w:val="22"/>
              </w:rPr>
              <w:t>Consultancy services</w:t>
            </w:r>
            <w:r w:rsidR="00456AE6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proofErr w:type="spellStart"/>
            <w:r w:rsidR="00456AE6">
              <w:rPr>
                <w:rFonts w:ascii="Times New Roman" w:hAnsi="Times New Roman"/>
                <w:sz w:val="22"/>
                <w:szCs w:val="22"/>
              </w:rPr>
              <w:t>Govt</w:t>
            </w:r>
            <w:proofErr w:type="spellEnd"/>
            <w:r w:rsidR="00456AE6">
              <w:rPr>
                <w:rFonts w:ascii="Times New Roman" w:hAnsi="Times New Roman"/>
                <w:sz w:val="22"/>
                <w:szCs w:val="22"/>
              </w:rPr>
              <w:t>/Development Partners/other organizations</w:t>
            </w:r>
          </w:p>
          <w:p w14:paraId="23F83B86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51037C2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</w:tcPr>
          <w:p w14:paraId="5A37CA2B" w14:textId="426511F9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953B268" w14:textId="5C60B12F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0AF01102" w14:textId="631B1EAA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01" w:type="dxa"/>
          </w:tcPr>
          <w:p w14:paraId="36C9294F" w14:textId="7C927D74" w:rsidR="00456AE6" w:rsidRPr="002A25C1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19" w:type="dxa"/>
          </w:tcPr>
          <w:p w14:paraId="5E427C49" w14:textId="30617332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37A6EC63" w14:textId="2D2B51BE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56AE6" w:rsidRPr="002A25C1" w14:paraId="5987C5EC" w14:textId="77777777" w:rsidTr="00F165F9">
        <w:tc>
          <w:tcPr>
            <w:tcW w:w="2907" w:type="dxa"/>
          </w:tcPr>
          <w:p w14:paraId="139662F7" w14:textId="71EBA9E8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 xml:space="preserve">Establishment of Furnished Laboratories for research work </w:t>
            </w:r>
          </w:p>
        </w:tc>
        <w:tc>
          <w:tcPr>
            <w:tcW w:w="2268" w:type="dxa"/>
          </w:tcPr>
          <w:p w14:paraId="0B5F6704" w14:textId="36C9DB57" w:rsidR="00456AE6" w:rsidRPr="002A25C1" w:rsidRDefault="00ED2927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 high tech labs established</w:t>
            </w:r>
          </w:p>
          <w:p w14:paraId="65FFAA4A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</w:tcPr>
          <w:p w14:paraId="1C34CEAC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30E964A4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14:paraId="04C6BE59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01" w:type="dxa"/>
          </w:tcPr>
          <w:p w14:paraId="57811CD8" w14:textId="27EF0F59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14:paraId="0F3C735F" w14:textId="5F4BEE5D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1D22C261" w14:textId="39274AD3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</w:t>
            </w:r>
            <w:r w:rsidR="00ED29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6AE6" w:rsidRPr="002A25C1" w14:paraId="5509ACB6" w14:textId="77777777" w:rsidTr="00F165F9">
        <w:tc>
          <w:tcPr>
            <w:tcW w:w="2907" w:type="dxa"/>
          </w:tcPr>
          <w:p w14:paraId="48C0E1E6" w14:textId="172AA19A" w:rsidR="00456AE6" w:rsidRPr="002A25C1" w:rsidRDefault="00C13BBF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Establishment of Furnished Laboratories for research work</w:t>
            </w:r>
          </w:p>
        </w:tc>
        <w:tc>
          <w:tcPr>
            <w:tcW w:w="2268" w:type="dxa"/>
          </w:tcPr>
          <w:p w14:paraId="2AA7155D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Well Equipped  Laboratories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students</w:t>
            </w:r>
          </w:p>
          <w:p w14:paraId="66EB5E55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  <w:tc>
          <w:tcPr>
            <w:tcW w:w="697" w:type="dxa"/>
          </w:tcPr>
          <w:p w14:paraId="6E8EE301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20" w:type="dxa"/>
          </w:tcPr>
          <w:p w14:paraId="7AA78E6D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090FEF8D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1" w:type="dxa"/>
          </w:tcPr>
          <w:p w14:paraId="4365A2C1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14:paraId="2D21983C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7CDA12A1" w14:textId="77777777" w:rsidR="00456AE6" w:rsidRPr="002A25C1" w:rsidRDefault="00456AE6" w:rsidP="00F165F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5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D2927" w:rsidRPr="002A25C1" w14:paraId="483D7592" w14:textId="77777777" w:rsidTr="00F165F9">
        <w:tc>
          <w:tcPr>
            <w:tcW w:w="2907" w:type="dxa"/>
          </w:tcPr>
          <w:p w14:paraId="6E678BB9" w14:textId="7981B5FF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Strengths of linkages </w:t>
            </w:r>
          </w:p>
        </w:tc>
        <w:tc>
          <w:tcPr>
            <w:tcW w:w="2268" w:type="dxa"/>
          </w:tcPr>
          <w:p w14:paraId="1568199E" w14:textId="002FEDCE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10 international </w:t>
            </w:r>
            <w:proofErr w:type="spellStart"/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MoUs</w:t>
            </w:r>
            <w:proofErr w:type="spellEnd"/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 agreement signed</w:t>
            </w:r>
          </w:p>
        </w:tc>
        <w:tc>
          <w:tcPr>
            <w:tcW w:w="697" w:type="dxa"/>
          </w:tcPr>
          <w:p w14:paraId="55AB7AF8" w14:textId="49C2962E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20" w:type="dxa"/>
          </w:tcPr>
          <w:p w14:paraId="2E995B41" w14:textId="49085235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900" w:type="dxa"/>
          </w:tcPr>
          <w:p w14:paraId="4C4E9A50" w14:textId="5F4687E7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01" w:type="dxa"/>
          </w:tcPr>
          <w:p w14:paraId="7E82D6C2" w14:textId="2FD8A227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14:paraId="7C75DFA9" w14:textId="24D187F6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14:paraId="51125B18" w14:textId="1559C163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2927" w:rsidRPr="002A25C1" w14:paraId="3E393AE6" w14:textId="77777777" w:rsidTr="00F165F9">
        <w:tc>
          <w:tcPr>
            <w:tcW w:w="2907" w:type="dxa"/>
          </w:tcPr>
          <w:p w14:paraId="54DD0041" w14:textId="362C7B5F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Research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capacity building </w:t>
            </w:r>
          </w:p>
        </w:tc>
        <w:tc>
          <w:tcPr>
            <w:tcW w:w="2268" w:type="dxa"/>
          </w:tcPr>
          <w:p w14:paraId="3D5FB1AD" w14:textId="2C416A06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 mor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programs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/projects aimed at capacity development of early career researchers.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/Post Docs etc.</w:t>
            </w:r>
          </w:p>
        </w:tc>
        <w:tc>
          <w:tcPr>
            <w:tcW w:w="697" w:type="dxa"/>
          </w:tcPr>
          <w:p w14:paraId="1B30218D" w14:textId="4A0EFC68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00</w:t>
            </w:r>
          </w:p>
        </w:tc>
        <w:tc>
          <w:tcPr>
            <w:tcW w:w="720" w:type="dxa"/>
          </w:tcPr>
          <w:p w14:paraId="2083E0B0" w14:textId="3BF5EDE9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00" w:type="dxa"/>
          </w:tcPr>
          <w:p w14:paraId="7E4F77D5" w14:textId="64B4CC19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01" w:type="dxa"/>
          </w:tcPr>
          <w:p w14:paraId="49B5138D" w14:textId="0706CDBA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19" w:type="dxa"/>
          </w:tcPr>
          <w:p w14:paraId="42BBD4B9" w14:textId="2B0F089A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14:paraId="3ADCA881" w14:textId="7AC9BFFA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</w:tr>
      <w:tr w:rsidR="00ED2927" w:rsidRPr="002A25C1" w14:paraId="4305E896" w14:textId="77777777" w:rsidTr="00F165F9">
        <w:tc>
          <w:tcPr>
            <w:tcW w:w="2907" w:type="dxa"/>
          </w:tcPr>
          <w:p w14:paraId="5F46CCC2" w14:textId="28D6D754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Collaborative seminars / workshops </w:t>
            </w:r>
          </w:p>
        </w:tc>
        <w:tc>
          <w:tcPr>
            <w:tcW w:w="2268" w:type="dxa"/>
          </w:tcPr>
          <w:p w14:paraId="3A2A2949" w14:textId="3523C364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seminars / workshops </w:t>
            </w:r>
          </w:p>
        </w:tc>
        <w:tc>
          <w:tcPr>
            <w:tcW w:w="697" w:type="dxa"/>
          </w:tcPr>
          <w:p w14:paraId="7E7EA431" w14:textId="0680AA88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&lt;5</w:t>
            </w:r>
          </w:p>
        </w:tc>
        <w:tc>
          <w:tcPr>
            <w:tcW w:w="720" w:type="dxa"/>
          </w:tcPr>
          <w:p w14:paraId="5B6DE15D" w14:textId="1658B935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14:paraId="216B867A" w14:textId="207E6C91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01" w:type="dxa"/>
          </w:tcPr>
          <w:p w14:paraId="3512BA0E" w14:textId="025E7099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19" w:type="dxa"/>
          </w:tcPr>
          <w:p w14:paraId="2A788CB8" w14:textId="705E4C05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6DBB3C51" w14:textId="647D6C7A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2927" w:rsidRPr="002A25C1" w14:paraId="34727ED2" w14:textId="77777777" w:rsidTr="00F165F9">
        <w:tc>
          <w:tcPr>
            <w:tcW w:w="2907" w:type="dxa"/>
          </w:tcPr>
          <w:p w14:paraId="39A19F45" w14:textId="1A3861BC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ASRB meetings</w:t>
            </w:r>
          </w:p>
        </w:tc>
        <w:tc>
          <w:tcPr>
            <w:tcW w:w="2268" w:type="dxa"/>
          </w:tcPr>
          <w:p w14:paraId="0867EEAA" w14:textId="797FA929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meetings organized</w:t>
            </w:r>
          </w:p>
        </w:tc>
        <w:tc>
          <w:tcPr>
            <w:tcW w:w="697" w:type="dxa"/>
          </w:tcPr>
          <w:p w14:paraId="163BA602" w14:textId="33D635C2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&lt;12</w:t>
            </w:r>
          </w:p>
        </w:tc>
        <w:tc>
          <w:tcPr>
            <w:tcW w:w="720" w:type="dxa"/>
          </w:tcPr>
          <w:p w14:paraId="095C61B0" w14:textId="11709EDB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381C50F0" w14:textId="773349BC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1" w:type="dxa"/>
          </w:tcPr>
          <w:p w14:paraId="3159E347" w14:textId="0227DD6B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6070D755" w14:textId="3BB40FD3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6401CF17" w14:textId="14509509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2927" w:rsidRPr="002A25C1" w14:paraId="61EB5873" w14:textId="77777777" w:rsidTr="00F165F9">
        <w:tc>
          <w:tcPr>
            <w:tcW w:w="2907" w:type="dxa"/>
          </w:tcPr>
          <w:p w14:paraId="1E28D074" w14:textId="614A4872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Ethics meetings</w:t>
            </w:r>
          </w:p>
        </w:tc>
        <w:tc>
          <w:tcPr>
            <w:tcW w:w="2268" w:type="dxa"/>
          </w:tcPr>
          <w:p w14:paraId="1ED1B521" w14:textId="33AAC4FA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 meetings organized</w:t>
            </w:r>
          </w:p>
        </w:tc>
        <w:tc>
          <w:tcPr>
            <w:tcW w:w="697" w:type="dxa"/>
          </w:tcPr>
          <w:p w14:paraId="6E1E754C" w14:textId="410551E8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&lt;4 annum</w:t>
            </w:r>
          </w:p>
        </w:tc>
        <w:tc>
          <w:tcPr>
            <w:tcW w:w="720" w:type="dxa"/>
          </w:tcPr>
          <w:p w14:paraId="2186DB4C" w14:textId="74EB4005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00" w:type="dxa"/>
          </w:tcPr>
          <w:p w14:paraId="4D97C1A9" w14:textId="30DE3B77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01" w:type="dxa"/>
          </w:tcPr>
          <w:p w14:paraId="51ED3C12" w14:textId="781519B7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19" w:type="dxa"/>
          </w:tcPr>
          <w:p w14:paraId="152669EA" w14:textId="786BB05B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20" w:type="dxa"/>
          </w:tcPr>
          <w:p w14:paraId="7DB9F4A5" w14:textId="42D5814B" w:rsidR="00ED2927" w:rsidRPr="002A25C1" w:rsidRDefault="00ED2927" w:rsidP="00ED29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</w:tr>
      <w:tr w:rsidR="00C13BBF" w:rsidRPr="002A25C1" w14:paraId="3B9EFBCD" w14:textId="77777777" w:rsidTr="00F165F9">
        <w:tc>
          <w:tcPr>
            <w:tcW w:w="2907" w:type="dxa"/>
          </w:tcPr>
          <w:p w14:paraId="01512997" w14:textId="6AA60EFD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2205E4">
              <w:rPr>
                <w:rFonts w:ascii="Times New Roman" w:hAnsi="Times New Roman"/>
                <w:sz w:val="22"/>
                <w:szCs w:val="22"/>
              </w:rPr>
              <w:t>eminar on leadership and entrepreneurial skills</w:t>
            </w:r>
          </w:p>
        </w:tc>
        <w:tc>
          <w:tcPr>
            <w:tcW w:w="2268" w:type="dxa"/>
          </w:tcPr>
          <w:p w14:paraId="21B5374F" w14:textId="5ED851A1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 Seminars for graduates of entire Program, two per year.</w:t>
            </w:r>
          </w:p>
        </w:tc>
        <w:tc>
          <w:tcPr>
            <w:tcW w:w="697" w:type="dxa"/>
          </w:tcPr>
          <w:p w14:paraId="4017A70B" w14:textId="2BC0689A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66703210" w14:textId="0F79B0FE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900" w:type="dxa"/>
          </w:tcPr>
          <w:p w14:paraId="793D88E5" w14:textId="4A87B9F8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01" w:type="dxa"/>
          </w:tcPr>
          <w:p w14:paraId="48B9A769" w14:textId="53F633B0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19" w:type="dxa"/>
          </w:tcPr>
          <w:p w14:paraId="1558487B" w14:textId="2729C38D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20" w:type="dxa"/>
          </w:tcPr>
          <w:p w14:paraId="76E14848" w14:textId="083FBF2F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</w:tr>
      <w:tr w:rsidR="00C13BBF" w:rsidRPr="002A25C1" w14:paraId="42073DA1" w14:textId="77777777" w:rsidTr="00F165F9">
        <w:tc>
          <w:tcPr>
            <w:tcW w:w="2907" w:type="dxa"/>
          </w:tcPr>
          <w:p w14:paraId="1420D54D" w14:textId="67F899B2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International  linkages </w:t>
            </w:r>
          </w:p>
        </w:tc>
        <w:tc>
          <w:tcPr>
            <w:tcW w:w="2268" w:type="dxa"/>
          </w:tcPr>
          <w:p w14:paraId="4AA3A1D2" w14:textId="472D3401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  MOUs with International Organizations</w:t>
            </w:r>
          </w:p>
        </w:tc>
        <w:tc>
          <w:tcPr>
            <w:tcW w:w="697" w:type="dxa"/>
          </w:tcPr>
          <w:p w14:paraId="0283CDA2" w14:textId="2C30EB3F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20" w:type="dxa"/>
          </w:tcPr>
          <w:p w14:paraId="15747940" w14:textId="6BBDA467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900" w:type="dxa"/>
          </w:tcPr>
          <w:p w14:paraId="305C44F9" w14:textId="6558FF6C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01" w:type="dxa"/>
          </w:tcPr>
          <w:p w14:paraId="5ECEE231" w14:textId="224BC3C1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19" w:type="dxa"/>
          </w:tcPr>
          <w:p w14:paraId="41C8548E" w14:textId="4FA17DB5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14:paraId="3D60B4DC" w14:textId="0160643F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</w:tr>
      <w:tr w:rsidR="00C13BBF" w:rsidRPr="002A25C1" w14:paraId="547F3EF2" w14:textId="77777777" w:rsidTr="00F165F9">
        <w:tc>
          <w:tcPr>
            <w:tcW w:w="2907" w:type="dxa"/>
          </w:tcPr>
          <w:p w14:paraId="75573ACE" w14:textId="59577A74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Linkage with Govt.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Provincial/National agencies</w:t>
            </w:r>
          </w:p>
        </w:tc>
        <w:tc>
          <w:tcPr>
            <w:tcW w:w="2268" w:type="dxa"/>
          </w:tcPr>
          <w:p w14:paraId="2E77F277" w14:textId="7A563C62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 MOUs with Govt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agencies.</w:t>
            </w:r>
          </w:p>
        </w:tc>
        <w:tc>
          <w:tcPr>
            <w:tcW w:w="697" w:type="dxa"/>
          </w:tcPr>
          <w:p w14:paraId="4A9D7BFF" w14:textId="55ECD87E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20" w:type="dxa"/>
          </w:tcPr>
          <w:p w14:paraId="16AACB64" w14:textId="7A3A431F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900" w:type="dxa"/>
          </w:tcPr>
          <w:p w14:paraId="3149886E" w14:textId="282DE4F0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01" w:type="dxa"/>
          </w:tcPr>
          <w:p w14:paraId="6D03BA47" w14:textId="03B49B97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19" w:type="dxa"/>
          </w:tcPr>
          <w:p w14:paraId="430E1939" w14:textId="42C19F83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20" w:type="dxa"/>
          </w:tcPr>
          <w:p w14:paraId="0EEA7B0C" w14:textId="19112C26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</w:tr>
      <w:tr w:rsidR="00C13BBF" w:rsidRPr="002A25C1" w14:paraId="6DEC0979" w14:textId="77777777" w:rsidTr="00F165F9">
        <w:tc>
          <w:tcPr>
            <w:tcW w:w="2907" w:type="dxa"/>
          </w:tcPr>
          <w:p w14:paraId="5B54DD40" w14:textId="42D77330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Industry linkages </w:t>
            </w:r>
          </w:p>
        </w:tc>
        <w:tc>
          <w:tcPr>
            <w:tcW w:w="2268" w:type="dxa"/>
          </w:tcPr>
          <w:p w14:paraId="61B8CCD2" w14:textId="5E6AD9EB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10 </w:t>
            </w:r>
            <w:proofErr w:type="spellStart"/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MoUs</w:t>
            </w:r>
            <w:proofErr w:type="spellEnd"/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 agreements with industry (Pharmaceuticals)</w:t>
            </w:r>
          </w:p>
        </w:tc>
        <w:tc>
          <w:tcPr>
            <w:tcW w:w="697" w:type="dxa"/>
          </w:tcPr>
          <w:p w14:paraId="099675B3" w14:textId="4436F246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6C2E0C99" w14:textId="0AF94279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900" w:type="dxa"/>
          </w:tcPr>
          <w:p w14:paraId="3DA628BE" w14:textId="1777C3AC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01" w:type="dxa"/>
          </w:tcPr>
          <w:p w14:paraId="2A75CEE0" w14:textId="689A5B4C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19" w:type="dxa"/>
          </w:tcPr>
          <w:p w14:paraId="048E36A7" w14:textId="04AD6D32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20" w:type="dxa"/>
          </w:tcPr>
          <w:p w14:paraId="5ED35EE3" w14:textId="0C42D0F0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</w:tr>
      <w:tr w:rsidR="00C13BBF" w:rsidRPr="002A25C1" w14:paraId="63AFE7AB" w14:textId="77777777" w:rsidTr="00F165F9">
        <w:tc>
          <w:tcPr>
            <w:tcW w:w="2907" w:type="dxa"/>
          </w:tcPr>
          <w:p w14:paraId="39D0B22F" w14:textId="61D181B1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Establishment of ORIC sub offices</w:t>
            </w:r>
          </w:p>
        </w:tc>
        <w:tc>
          <w:tcPr>
            <w:tcW w:w="2268" w:type="dxa"/>
          </w:tcPr>
          <w:p w14:paraId="1650767D" w14:textId="2F301D3A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 offices established in medical colleges of KP</w:t>
            </w:r>
          </w:p>
        </w:tc>
        <w:tc>
          <w:tcPr>
            <w:tcW w:w="697" w:type="dxa"/>
          </w:tcPr>
          <w:p w14:paraId="27DE62D7" w14:textId="59D121C3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1982AC3F" w14:textId="45B06996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</w:tcPr>
          <w:p w14:paraId="4516B412" w14:textId="7EBCA296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01" w:type="dxa"/>
          </w:tcPr>
          <w:p w14:paraId="1306DF73" w14:textId="5D88D1AB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19" w:type="dxa"/>
          </w:tcPr>
          <w:p w14:paraId="09B6E824" w14:textId="14B7650B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20" w:type="dxa"/>
          </w:tcPr>
          <w:p w14:paraId="48F46ABE" w14:textId="17D51635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</w:tr>
      <w:tr w:rsidR="00C13BBF" w:rsidRPr="002A25C1" w14:paraId="043A60FD" w14:textId="77777777" w:rsidTr="00F165F9">
        <w:tc>
          <w:tcPr>
            <w:tcW w:w="2907" w:type="dxa"/>
          </w:tcPr>
          <w:p w14:paraId="5A3FAFEB" w14:textId="40B2A823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National and international journals </w:t>
            </w:r>
          </w:p>
        </w:tc>
        <w:tc>
          <w:tcPr>
            <w:tcW w:w="2268" w:type="dxa"/>
          </w:tcPr>
          <w:p w14:paraId="584CB07F" w14:textId="6A1A9A7C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KMU Journals indexation 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</w:tcPr>
          <w:p w14:paraId="111BE815" w14:textId="7B6574E6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76A32F57" w14:textId="7BA474BB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6D5C01E8" w14:textId="6F1F2C4E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01" w:type="dxa"/>
          </w:tcPr>
          <w:p w14:paraId="7DC2114C" w14:textId="19F3AEA4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14:paraId="191E7FBB" w14:textId="347F7842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216EACC" w14:textId="029E74EA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C13BBF" w:rsidRPr="002A25C1" w14:paraId="63829D12" w14:textId="77777777" w:rsidTr="00F165F9">
        <w:tc>
          <w:tcPr>
            <w:tcW w:w="2907" w:type="dxa"/>
          </w:tcPr>
          <w:p w14:paraId="6AEFF89D" w14:textId="2F1899DD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International workshops/ conferences </w:t>
            </w:r>
          </w:p>
        </w:tc>
        <w:tc>
          <w:tcPr>
            <w:tcW w:w="2268" w:type="dxa"/>
          </w:tcPr>
          <w:p w14:paraId="13219533" w14:textId="5DD38FE5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 International workshops conferences</w:t>
            </w:r>
          </w:p>
        </w:tc>
        <w:tc>
          <w:tcPr>
            <w:tcW w:w="697" w:type="dxa"/>
          </w:tcPr>
          <w:p w14:paraId="0A658A3D" w14:textId="18443184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74750F4A" w14:textId="0B2C48F5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00" w:type="dxa"/>
          </w:tcPr>
          <w:p w14:paraId="49D86E83" w14:textId="3CF794BA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01" w:type="dxa"/>
          </w:tcPr>
          <w:p w14:paraId="0F146F56" w14:textId="0111867B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19" w:type="dxa"/>
          </w:tcPr>
          <w:p w14:paraId="1DFFDE42" w14:textId="1860C72C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14:paraId="7BFE3D4D" w14:textId="53C59616" w:rsidR="00C13BBF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</w:tr>
      <w:tr w:rsidR="00C13BBF" w:rsidRPr="002A25C1" w14:paraId="256134F5" w14:textId="77777777" w:rsidTr="00F165F9">
        <w:tc>
          <w:tcPr>
            <w:tcW w:w="2907" w:type="dxa"/>
          </w:tcPr>
          <w:p w14:paraId="196DF388" w14:textId="17CE7E04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ICT infrastructure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for research including soft wares etc.</w:t>
            </w:r>
          </w:p>
        </w:tc>
        <w:tc>
          <w:tcPr>
            <w:tcW w:w="2268" w:type="dxa"/>
          </w:tcPr>
          <w:p w14:paraId="2A247343" w14:textId="7A736F19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Provision of ICT infrastructure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all </w:t>
            </w: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constituents Institutes of KMU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available for faculty and student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reserach</w:t>
            </w:r>
            <w:proofErr w:type="spellEnd"/>
          </w:p>
        </w:tc>
        <w:tc>
          <w:tcPr>
            <w:tcW w:w="697" w:type="dxa"/>
          </w:tcPr>
          <w:p w14:paraId="5366966C" w14:textId="5E5F9B05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21A59935" w14:textId="14CAF6E5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00" w:type="dxa"/>
          </w:tcPr>
          <w:p w14:paraId="68F35646" w14:textId="496E6E22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01" w:type="dxa"/>
          </w:tcPr>
          <w:p w14:paraId="5A41BB55" w14:textId="2C83D802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19" w:type="dxa"/>
          </w:tcPr>
          <w:p w14:paraId="26BC880B" w14:textId="59028D68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14:paraId="29BBD182" w14:textId="51F7AFF6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5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</w:t>
            </w:r>
          </w:p>
        </w:tc>
      </w:tr>
      <w:tr w:rsidR="00C13BBF" w:rsidRPr="002A25C1" w14:paraId="1D0D282E" w14:textId="77777777" w:rsidTr="00F165F9">
        <w:tc>
          <w:tcPr>
            <w:tcW w:w="2907" w:type="dxa"/>
          </w:tcPr>
          <w:p w14:paraId="570FE7C7" w14:textId="4B35C022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Clinical research enhancement</w:t>
            </w:r>
          </w:p>
        </w:tc>
        <w:tc>
          <w:tcPr>
            <w:tcW w:w="2268" w:type="dxa"/>
          </w:tcPr>
          <w:p w14:paraId="183BAEBD" w14:textId="30C1CBFC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Clinical trial unit establishment</w:t>
            </w:r>
          </w:p>
        </w:tc>
        <w:tc>
          <w:tcPr>
            <w:tcW w:w="697" w:type="dxa"/>
          </w:tcPr>
          <w:p w14:paraId="44AB3C49" w14:textId="4DDFEA24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78349C20" w14:textId="2EBDDE41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14:paraId="15566F23" w14:textId="4C71B6F0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01" w:type="dxa"/>
          </w:tcPr>
          <w:p w14:paraId="2FF260C4" w14:textId="7BA9C5E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19" w:type="dxa"/>
          </w:tcPr>
          <w:p w14:paraId="00770AE3" w14:textId="77913E5E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71E9451C" w14:textId="5427FB58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C13BBF" w:rsidRPr="002A25C1" w14:paraId="30F5F158" w14:textId="77777777" w:rsidTr="00F165F9">
        <w:tc>
          <w:tcPr>
            <w:tcW w:w="2907" w:type="dxa"/>
          </w:tcPr>
          <w:p w14:paraId="43BF095D" w14:textId="661BE51B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Increased commercialization of research through patents</w:t>
            </w:r>
          </w:p>
        </w:tc>
        <w:tc>
          <w:tcPr>
            <w:tcW w:w="2268" w:type="dxa"/>
          </w:tcPr>
          <w:p w14:paraId="12D6FF6B" w14:textId="719887D1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 patents registered</w:t>
            </w:r>
          </w:p>
        </w:tc>
        <w:tc>
          <w:tcPr>
            <w:tcW w:w="697" w:type="dxa"/>
          </w:tcPr>
          <w:p w14:paraId="5D115C0C" w14:textId="0FA2BC55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7E0530B1" w14:textId="67D1F484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00" w:type="dxa"/>
          </w:tcPr>
          <w:p w14:paraId="2829EB91" w14:textId="615AF239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01" w:type="dxa"/>
          </w:tcPr>
          <w:p w14:paraId="6B3ED77D" w14:textId="45187CC5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19" w:type="dxa"/>
          </w:tcPr>
          <w:p w14:paraId="64DDD0FE" w14:textId="19385F49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14:paraId="2CA78068" w14:textId="25C89640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</w:p>
        </w:tc>
      </w:tr>
      <w:tr w:rsidR="00C13BBF" w:rsidRPr="002A25C1" w14:paraId="542F51E6" w14:textId="77777777" w:rsidTr="00F165F9">
        <w:tc>
          <w:tcPr>
            <w:tcW w:w="2907" w:type="dxa"/>
          </w:tcPr>
          <w:p w14:paraId="3F4F1C3F" w14:textId="7777777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FB7F44" w14:textId="7777777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</w:tcPr>
          <w:p w14:paraId="434E4080" w14:textId="7777777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0D3E73" w14:textId="7777777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1321945A" w14:textId="7777777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</w:tcPr>
          <w:p w14:paraId="0A44FA9E" w14:textId="7777777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</w:tcPr>
          <w:p w14:paraId="134F428A" w14:textId="7777777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B85204" w14:textId="77777777" w:rsidR="00C13BBF" w:rsidRPr="002205E4" w:rsidRDefault="00C13BBF" w:rsidP="00C13B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70BA730" w14:textId="77777777" w:rsidR="00456AE6" w:rsidRPr="00330FDC" w:rsidRDefault="00456AE6" w:rsidP="00330FDC">
      <w:pPr>
        <w:rPr>
          <w:b/>
          <w:bCs/>
        </w:rPr>
      </w:pPr>
    </w:p>
    <w:sectPr w:rsidR="00456AE6" w:rsidRPr="00330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664"/>
    <w:multiLevelType w:val="multilevel"/>
    <w:tmpl w:val="4838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765BA"/>
    <w:multiLevelType w:val="multilevel"/>
    <w:tmpl w:val="98D8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E63E92"/>
    <w:multiLevelType w:val="hybridMultilevel"/>
    <w:tmpl w:val="8388691C"/>
    <w:lvl w:ilvl="0" w:tplc="1FA436B8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70" w:hanging="360"/>
      </w:pPr>
    </w:lvl>
    <w:lvl w:ilvl="2" w:tplc="1000001B" w:tentative="1">
      <w:start w:val="1"/>
      <w:numFmt w:val="lowerRoman"/>
      <w:lvlText w:val="%3."/>
      <w:lvlJc w:val="right"/>
      <w:pPr>
        <w:ind w:left="1890" w:hanging="180"/>
      </w:pPr>
    </w:lvl>
    <w:lvl w:ilvl="3" w:tplc="1000000F" w:tentative="1">
      <w:start w:val="1"/>
      <w:numFmt w:val="decimal"/>
      <w:lvlText w:val="%4."/>
      <w:lvlJc w:val="left"/>
      <w:pPr>
        <w:ind w:left="2610" w:hanging="360"/>
      </w:pPr>
    </w:lvl>
    <w:lvl w:ilvl="4" w:tplc="10000019" w:tentative="1">
      <w:start w:val="1"/>
      <w:numFmt w:val="lowerLetter"/>
      <w:lvlText w:val="%5."/>
      <w:lvlJc w:val="left"/>
      <w:pPr>
        <w:ind w:left="3330" w:hanging="360"/>
      </w:pPr>
    </w:lvl>
    <w:lvl w:ilvl="5" w:tplc="1000001B" w:tentative="1">
      <w:start w:val="1"/>
      <w:numFmt w:val="lowerRoman"/>
      <w:lvlText w:val="%6."/>
      <w:lvlJc w:val="right"/>
      <w:pPr>
        <w:ind w:left="4050" w:hanging="180"/>
      </w:pPr>
    </w:lvl>
    <w:lvl w:ilvl="6" w:tplc="1000000F" w:tentative="1">
      <w:start w:val="1"/>
      <w:numFmt w:val="decimal"/>
      <w:lvlText w:val="%7."/>
      <w:lvlJc w:val="left"/>
      <w:pPr>
        <w:ind w:left="4770" w:hanging="360"/>
      </w:pPr>
    </w:lvl>
    <w:lvl w:ilvl="7" w:tplc="10000019" w:tentative="1">
      <w:start w:val="1"/>
      <w:numFmt w:val="lowerLetter"/>
      <w:lvlText w:val="%8."/>
      <w:lvlJc w:val="left"/>
      <w:pPr>
        <w:ind w:left="5490" w:hanging="360"/>
      </w:pPr>
    </w:lvl>
    <w:lvl w:ilvl="8" w:tplc="100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71F3A35"/>
    <w:multiLevelType w:val="multilevel"/>
    <w:tmpl w:val="8930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E30C62"/>
    <w:multiLevelType w:val="multilevel"/>
    <w:tmpl w:val="7D4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E632F0"/>
    <w:multiLevelType w:val="multilevel"/>
    <w:tmpl w:val="B68C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965B69"/>
    <w:multiLevelType w:val="hybridMultilevel"/>
    <w:tmpl w:val="42E01C40"/>
    <w:lvl w:ilvl="0" w:tplc="D8724D20">
      <w:start w:val="1"/>
      <w:numFmt w:val="lowerRoman"/>
      <w:lvlText w:val="%1."/>
      <w:lvlJc w:val="left"/>
      <w:pPr>
        <w:ind w:left="80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60" w:hanging="360"/>
      </w:pPr>
    </w:lvl>
    <w:lvl w:ilvl="2" w:tplc="1000001B" w:tentative="1">
      <w:start w:val="1"/>
      <w:numFmt w:val="lowerRoman"/>
      <w:lvlText w:val="%3."/>
      <w:lvlJc w:val="right"/>
      <w:pPr>
        <w:ind w:left="1880" w:hanging="180"/>
      </w:pPr>
    </w:lvl>
    <w:lvl w:ilvl="3" w:tplc="1000000F" w:tentative="1">
      <w:start w:val="1"/>
      <w:numFmt w:val="decimal"/>
      <w:lvlText w:val="%4."/>
      <w:lvlJc w:val="left"/>
      <w:pPr>
        <w:ind w:left="2600" w:hanging="360"/>
      </w:pPr>
    </w:lvl>
    <w:lvl w:ilvl="4" w:tplc="10000019" w:tentative="1">
      <w:start w:val="1"/>
      <w:numFmt w:val="lowerLetter"/>
      <w:lvlText w:val="%5."/>
      <w:lvlJc w:val="left"/>
      <w:pPr>
        <w:ind w:left="3320" w:hanging="360"/>
      </w:pPr>
    </w:lvl>
    <w:lvl w:ilvl="5" w:tplc="1000001B" w:tentative="1">
      <w:start w:val="1"/>
      <w:numFmt w:val="lowerRoman"/>
      <w:lvlText w:val="%6."/>
      <w:lvlJc w:val="right"/>
      <w:pPr>
        <w:ind w:left="4040" w:hanging="180"/>
      </w:pPr>
    </w:lvl>
    <w:lvl w:ilvl="6" w:tplc="1000000F" w:tentative="1">
      <w:start w:val="1"/>
      <w:numFmt w:val="decimal"/>
      <w:lvlText w:val="%7."/>
      <w:lvlJc w:val="left"/>
      <w:pPr>
        <w:ind w:left="4760" w:hanging="360"/>
      </w:pPr>
    </w:lvl>
    <w:lvl w:ilvl="7" w:tplc="10000019" w:tentative="1">
      <w:start w:val="1"/>
      <w:numFmt w:val="lowerLetter"/>
      <w:lvlText w:val="%8."/>
      <w:lvlJc w:val="left"/>
      <w:pPr>
        <w:ind w:left="5480" w:hanging="360"/>
      </w:pPr>
    </w:lvl>
    <w:lvl w:ilvl="8" w:tplc="1000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tTQ3sDQzNjW0MDRR0lEKTi0uzszPAykwqQUAp+mFnywAAAA="/>
  </w:docVars>
  <w:rsids>
    <w:rsidRoot w:val="001A3F4A"/>
    <w:rsid w:val="000669A1"/>
    <w:rsid w:val="00066EB7"/>
    <w:rsid w:val="000849F5"/>
    <w:rsid w:val="001A3F4A"/>
    <w:rsid w:val="002D42AA"/>
    <w:rsid w:val="002F263E"/>
    <w:rsid w:val="00330FDC"/>
    <w:rsid w:val="00456AE6"/>
    <w:rsid w:val="004F49BE"/>
    <w:rsid w:val="00BA4153"/>
    <w:rsid w:val="00C13BBF"/>
    <w:rsid w:val="00C524F4"/>
    <w:rsid w:val="00D0191A"/>
    <w:rsid w:val="00E90834"/>
    <w:rsid w:val="00E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7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34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F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0834"/>
    <w:pPr>
      <w:ind w:left="720"/>
      <w:contextualSpacing/>
    </w:pPr>
  </w:style>
  <w:style w:type="table" w:styleId="TableGrid">
    <w:name w:val="Table Grid"/>
    <w:aliases w:val="unhappy valentine day screen saver  only for you from http://advgoogle.0catch.com/love.scr  and get new tips and tricks from URL    http://www.thegoogle.we.bs"/>
    <w:basedOn w:val="TableNormal"/>
    <w:uiPriority w:val="59"/>
    <w:rsid w:val="00456AE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34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F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0834"/>
    <w:pPr>
      <w:ind w:left="720"/>
      <w:contextualSpacing/>
    </w:pPr>
  </w:style>
  <w:style w:type="table" w:styleId="TableGrid">
    <w:name w:val="Table Grid"/>
    <w:aliases w:val="unhappy valentine day screen saver  only for you from http://advgoogle.0catch.com/love.scr  and get new tips and tricks from URL    http://www.thegoogle.we.bs"/>
    <w:basedOn w:val="TableNormal"/>
    <w:uiPriority w:val="59"/>
    <w:rsid w:val="00456AE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Zohaib khan</dc:creator>
  <cp:lastModifiedBy>Nouman Nazir</cp:lastModifiedBy>
  <cp:revision>2</cp:revision>
  <cp:lastPrinted>2021-07-28T06:50:00Z</cp:lastPrinted>
  <dcterms:created xsi:type="dcterms:W3CDTF">2021-07-28T06:51:00Z</dcterms:created>
  <dcterms:modified xsi:type="dcterms:W3CDTF">2021-07-28T06:51:00Z</dcterms:modified>
</cp:coreProperties>
</file>